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inorEastAsia" w:hAnsiTheme="minorEastAsia" w:eastAsiaTheme="minorEastAsia"/>
          <w:b/>
          <w:bCs/>
          <w:color w:val="000000" w:themeColor="text1"/>
          <w:spacing w:val="26"/>
          <w:sz w:val="72"/>
          <w:szCs w:val="72"/>
          <w14:textFill>
            <w14:solidFill>
              <w14:schemeClr w14:val="tx1"/>
            </w14:solidFill>
          </w14:textFill>
        </w:rPr>
      </w:pPr>
    </w:p>
    <w:p>
      <w:pPr>
        <w:jc w:val="center"/>
        <w:rPr>
          <w:rFonts w:asciiTheme="minorEastAsia" w:hAnsiTheme="minorEastAsia" w:eastAsiaTheme="minorEastAsia"/>
          <w:b/>
          <w:bCs/>
          <w:color w:val="000000" w:themeColor="text1"/>
          <w:spacing w:val="26"/>
          <w:sz w:val="84"/>
          <w:szCs w:val="84"/>
          <w14:textFill>
            <w14:solidFill>
              <w14:schemeClr w14:val="tx1"/>
            </w14:solidFill>
          </w14:textFill>
        </w:rPr>
      </w:pPr>
      <w:r>
        <w:rPr>
          <w:rFonts w:hint="eastAsia" w:ascii="微软雅黑" w:hAnsi="微软雅黑" w:eastAsia="微软雅黑"/>
          <w:b/>
          <w:color w:val="000000" w:themeColor="text1"/>
          <w:sz w:val="84"/>
          <w:szCs w:val="84"/>
          <w14:textFill>
            <w14:solidFill>
              <w14:schemeClr w14:val="tx1"/>
            </w14:solidFill>
          </w14:textFill>
        </w:rPr>
        <w:t>竞争性比选文件</w:t>
      </w:r>
    </w:p>
    <w:p>
      <w:pPr>
        <w:jc w:val="center"/>
        <w:rPr>
          <w:rFonts w:asciiTheme="minorEastAsia" w:hAnsiTheme="minorEastAsia" w:eastAsiaTheme="minorEastAsia"/>
          <w:b/>
          <w:bCs/>
          <w:color w:val="000000" w:themeColor="text1"/>
          <w:sz w:val="32"/>
          <w14:textFill>
            <w14:solidFill>
              <w14:schemeClr w14:val="tx1"/>
            </w14:solidFill>
          </w14:textFill>
        </w:rPr>
      </w:pPr>
    </w:p>
    <w:p>
      <w:pPr>
        <w:jc w:val="center"/>
        <w:rPr>
          <w:rFonts w:asciiTheme="minorEastAsia" w:hAnsiTheme="minorEastAsia" w:eastAsiaTheme="minorEastAsia"/>
          <w:b/>
          <w:bCs/>
          <w:color w:val="000000" w:themeColor="text1"/>
          <w:sz w:val="72"/>
          <w14:textFill>
            <w14:solidFill>
              <w14:schemeClr w14:val="tx1"/>
            </w14:solidFill>
          </w14:textFill>
        </w:rPr>
      </w:pPr>
    </w:p>
    <w:p>
      <w:pPr>
        <w:jc w:val="center"/>
        <w:rPr>
          <w:rFonts w:asciiTheme="minorEastAsia" w:hAnsiTheme="minorEastAsia" w:eastAsiaTheme="minorEastAsia"/>
          <w:b/>
          <w:bCs/>
          <w:color w:val="000000" w:themeColor="text1"/>
          <w:sz w:val="72"/>
          <w14:textFill>
            <w14:solidFill>
              <w14:schemeClr w14:val="tx1"/>
            </w14:solidFill>
          </w14:textFill>
        </w:rPr>
      </w:pPr>
    </w:p>
    <w:p>
      <w:pPr>
        <w:pStyle w:val="37"/>
        <w:ind w:firstLine="210"/>
        <w:rPr>
          <w:color w:val="000000" w:themeColor="text1"/>
          <w14:textFill>
            <w14:solidFill>
              <w14:schemeClr w14:val="tx1"/>
            </w14:solidFill>
          </w14:textFill>
        </w:rPr>
      </w:pPr>
    </w:p>
    <w:p>
      <w:pPr>
        <w:adjustRightInd w:val="0"/>
        <w:snapToGrid w:val="0"/>
        <w:spacing w:line="360" w:lineRule="auto"/>
        <w:ind w:firstLine="441" w:firstLineChars="147"/>
        <w:jc w:val="center"/>
        <w:rPr>
          <w:rFonts w:ascii="方正小标宋_GBK" w:hAnsi="微软雅黑" w:eastAsia="方正小标宋_GBK"/>
          <w:color w:val="000000" w:themeColor="text1"/>
          <w:sz w:val="30"/>
          <w:szCs w:val="30"/>
          <w14:textFill>
            <w14:solidFill>
              <w14:schemeClr w14:val="tx1"/>
            </w14:solidFill>
          </w14:textFill>
        </w:rPr>
      </w:pPr>
      <w:r>
        <w:rPr>
          <w:rFonts w:hint="eastAsia" w:ascii="方正小标宋_GBK" w:hAnsi="微软雅黑" w:eastAsia="方正小标宋_GBK"/>
          <w:color w:val="000000" w:themeColor="text1"/>
          <w:sz w:val="30"/>
          <w:szCs w:val="30"/>
          <w14:textFill>
            <w14:solidFill>
              <w14:schemeClr w14:val="tx1"/>
            </w14:solidFill>
          </w14:textFill>
        </w:rPr>
        <w:t>项目名称：院本部部分实验室改造项目</w:t>
      </w:r>
    </w:p>
    <w:p>
      <w:pPr>
        <w:jc w:val="both"/>
        <w:rPr>
          <w:rFonts w:asciiTheme="minorEastAsia" w:hAnsiTheme="minorEastAsia" w:eastAsiaTheme="minorEastAsia"/>
          <w:b/>
          <w:bCs/>
          <w:color w:val="000000" w:themeColor="text1"/>
          <w:sz w:val="30"/>
          <w14:textFill>
            <w14:solidFill>
              <w14:schemeClr w14:val="tx1"/>
            </w14:solidFill>
          </w14:textFill>
        </w:rPr>
      </w:pPr>
    </w:p>
    <w:p>
      <w:pPr>
        <w:rPr>
          <w:rFonts w:asciiTheme="minorEastAsia" w:hAnsiTheme="minorEastAsia" w:eastAsiaTheme="minorEastAsia"/>
          <w:b/>
          <w:bCs/>
          <w:color w:val="000000" w:themeColor="text1"/>
          <w:sz w:val="30"/>
          <w14:textFill>
            <w14:solidFill>
              <w14:schemeClr w14:val="tx1"/>
            </w14:solidFill>
          </w14:textFill>
        </w:rPr>
      </w:pPr>
    </w:p>
    <w:p>
      <w:pPr>
        <w:rPr>
          <w:rFonts w:asciiTheme="minorEastAsia" w:hAnsiTheme="minorEastAsia" w:eastAsiaTheme="minorEastAsia"/>
          <w:b/>
          <w:bCs/>
          <w:color w:val="000000" w:themeColor="text1"/>
          <w:sz w:val="30"/>
          <w14:textFill>
            <w14:solidFill>
              <w14:schemeClr w14:val="tx1"/>
            </w14:solidFill>
          </w14:textFill>
        </w:rPr>
      </w:pPr>
    </w:p>
    <w:p>
      <w:pPr>
        <w:adjustRightInd w:val="0"/>
        <w:snapToGrid w:val="0"/>
        <w:spacing w:line="360" w:lineRule="auto"/>
        <w:rPr>
          <w:rFonts w:asciiTheme="minorEastAsia" w:hAnsiTheme="minorEastAsia" w:eastAsiaTheme="minorEastAsia"/>
          <w:b/>
          <w:bCs/>
          <w:color w:val="000000" w:themeColor="text1"/>
          <w:sz w:val="32"/>
          <w14:textFill>
            <w14:solidFill>
              <w14:schemeClr w14:val="tx1"/>
            </w14:solidFill>
          </w14:textFill>
        </w:rPr>
      </w:pPr>
    </w:p>
    <w:p>
      <w:pPr>
        <w:adjustRightInd w:val="0"/>
        <w:snapToGrid w:val="0"/>
        <w:spacing w:line="360" w:lineRule="auto"/>
        <w:rPr>
          <w:rFonts w:asciiTheme="minorEastAsia" w:hAnsiTheme="minorEastAsia" w:eastAsiaTheme="minorEastAsia"/>
          <w:b/>
          <w:bCs/>
          <w:color w:val="000000" w:themeColor="text1"/>
          <w:sz w:val="32"/>
          <w14:textFill>
            <w14:solidFill>
              <w14:schemeClr w14:val="tx1"/>
            </w14:solidFill>
          </w14:textFill>
        </w:rPr>
      </w:pPr>
    </w:p>
    <w:p>
      <w:pPr>
        <w:adjustRightInd w:val="0"/>
        <w:snapToGrid w:val="0"/>
        <w:spacing w:line="360" w:lineRule="auto"/>
        <w:rPr>
          <w:rFonts w:asciiTheme="minorEastAsia" w:hAnsiTheme="minorEastAsia" w:eastAsiaTheme="minorEastAsia"/>
          <w:b/>
          <w:bCs/>
          <w:color w:val="000000" w:themeColor="text1"/>
          <w:sz w:val="32"/>
          <w14:textFill>
            <w14:solidFill>
              <w14:schemeClr w14:val="tx1"/>
            </w14:solidFill>
          </w14:textFill>
        </w:rPr>
      </w:pPr>
    </w:p>
    <w:p>
      <w:pPr>
        <w:spacing w:line="480" w:lineRule="exact"/>
        <w:jc w:val="center"/>
        <w:outlineLvl w:val="0"/>
        <w:rPr>
          <w:rFonts w:ascii="方正小标宋_GBK" w:hAnsi="微软雅黑" w:eastAsia="方正小标宋_GBK"/>
          <w:color w:val="000000" w:themeColor="text1"/>
          <w:sz w:val="30"/>
          <w:szCs w:val="30"/>
          <w14:textFill>
            <w14:solidFill>
              <w14:schemeClr w14:val="tx1"/>
            </w14:solidFill>
          </w14:textFill>
        </w:rPr>
      </w:pPr>
    </w:p>
    <w:p>
      <w:pPr>
        <w:jc w:val="center"/>
        <w:rPr>
          <w:rFonts w:ascii="方正小标宋_GBK" w:eastAsia="方正小标宋_GBK"/>
          <w:color w:val="000000" w:themeColor="text1"/>
          <w14:textFill>
            <w14:solidFill>
              <w14:schemeClr w14:val="tx1"/>
            </w14:solidFill>
          </w14:textFill>
        </w:rPr>
      </w:pPr>
      <w:r>
        <w:rPr>
          <w:rFonts w:hint="eastAsia" w:ascii="方正小标宋_GBK" w:eastAsia="方正小标宋_GBK"/>
          <w:color w:val="000000" w:themeColor="text1"/>
          <w:sz w:val="32"/>
          <w14:textFill>
            <w14:solidFill>
              <w14:schemeClr w14:val="tx1"/>
            </w14:solidFill>
          </w14:textFill>
        </w:rPr>
        <w:t>采购人：重庆市计量质量检测研究院</w:t>
      </w:r>
    </w:p>
    <w:p>
      <w:pPr>
        <w:snapToGrid w:val="0"/>
        <w:spacing w:line="480" w:lineRule="exact"/>
        <w:jc w:val="center"/>
        <w:rPr>
          <w:rFonts w:ascii="方正小标宋_GBK" w:hAnsi="微软雅黑" w:eastAsia="方正小标宋_GBK"/>
          <w:color w:val="000000" w:themeColor="text1"/>
          <w:sz w:val="30"/>
          <w:szCs w:val="30"/>
          <w14:textFill>
            <w14:solidFill>
              <w14:schemeClr w14:val="tx1"/>
            </w14:solidFill>
          </w14:textFill>
        </w:rPr>
      </w:pPr>
    </w:p>
    <w:p>
      <w:pPr>
        <w:snapToGrid w:val="0"/>
        <w:spacing w:line="480" w:lineRule="exact"/>
        <w:jc w:val="center"/>
        <w:rPr>
          <w:rFonts w:ascii="黑体" w:hAnsi="黑体" w:eastAsia="黑体"/>
          <w:color w:val="000000" w:themeColor="text1"/>
          <w:sz w:val="30"/>
          <w:szCs w:val="30"/>
          <w14:textFill>
            <w14:solidFill>
              <w14:schemeClr w14:val="tx1"/>
            </w14:solidFill>
          </w14:textFill>
        </w:rPr>
      </w:pPr>
      <w:r>
        <w:rPr>
          <w:rFonts w:hint="eastAsia" w:ascii="黑体" w:hAnsi="黑体" w:eastAsia="黑体"/>
          <w:color w:val="000000" w:themeColor="text1"/>
          <w:sz w:val="30"/>
          <w:szCs w:val="30"/>
          <w14:textFill>
            <w14:solidFill>
              <w14:schemeClr w14:val="tx1"/>
            </w14:solidFill>
          </w14:textFill>
        </w:rPr>
        <w:t>二○二六年七月</w:t>
      </w:r>
    </w:p>
    <w:p>
      <w:pPr>
        <w:snapToGrid w:val="0"/>
        <w:spacing w:line="480" w:lineRule="exact"/>
        <w:rPr>
          <w:rFonts w:ascii="黑体" w:hAnsi="黑体" w:eastAsia="黑体"/>
          <w:color w:val="000000" w:themeColor="text1"/>
          <w:sz w:val="30"/>
          <w:szCs w:val="30"/>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pPr>
        <w:jc w:val="center"/>
        <w:rPr>
          <w:rFonts w:asciiTheme="minorEastAsia" w:hAnsiTheme="minorEastAsia" w:eastAsiaTheme="minorEastAsia"/>
          <w:b/>
          <w:color w:val="000000" w:themeColor="text1"/>
          <w:sz w:val="44"/>
          <w:szCs w:val="36"/>
          <w14:textFill>
            <w14:solidFill>
              <w14:schemeClr w14:val="tx1"/>
            </w14:solidFill>
          </w14:textFill>
        </w:rPr>
      </w:pPr>
      <w:bookmarkStart w:id="0" w:name="_Toc68963457"/>
      <w:r>
        <w:rPr>
          <w:rFonts w:hint="eastAsia" w:asciiTheme="minorEastAsia" w:hAnsiTheme="minorEastAsia" w:eastAsiaTheme="minorEastAsia"/>
          <w:b/>
          <w:color w:val="000000" w:themeColor="text1"/>
          <w:sz w:val="44"/>
          <w:szCs w:val="36"/>
          <w14:textFill>
            <w14:solidFill>
              <w14:schemeClr w14:val="tx1"/>
            </w14:solidFill>
          </w14:textFill>
        </w:rPr>
        <w:t>目录</w:t>
      </w:r>
      <w:bookmarkEnd w:id="0"/>
    </w:p>
    <w:p>
      <w:pPr>
        <w:tabs>
          <w:tab w:val="left" w:pos="420"/>
        </w:tabs>
        <w:jc w:val="center"/>
        <w:rPr>
          <w:rFonts w:asciiTheme="minorEastAsia" w:hAnsiTheme="minorEastAsia" w:eastAsiaTheme="minorEastAsia"/>
          <w:b/>
          <w:color w:val="000000" w:themeColor="text1"/>
          <w:sz w:val="44"/>
          <w:szCs w:val="36"/>
          <w14:textFill>
            <w14:solidFill>
              <w14:schemeClr w14:val="tx1"/>
            </w14:solidFill>
          </w14:textFill>
        </w:rPr>
      </w:pPr>
    </w:p>
    <w:p>
      <w:pPr>
        <w:pStyle w:val="28"/>
        <w:tabs>
          <w:tab w:val="right" w:leader="dot" w:pos="9525"/>
          <w:tab w:val="clear" w:pos="8302"/>
        </w:tabs>
        <w:rPr>
          <w:color w:val="000000" w:themeColor="text1"/>
          <w14:textFill>
            <w14:solidFill>
              <w14:schemeClr w14:val="tx1"/>
            </w14:solidFill>
          </w14:textFill>
        </w:rPr>
      </w:pPr>
      <w:r>
        <w:rPr>
          <w:rFonts w:hint="eastAsia" w:ascii="微软雅黑" w:hAnsi="微软雅黑" w:eastAsia="微软雅黑" w:cs="仿宋"/>
          <w:color w:val="000000" w:themeColor="text1"/>
          <w:sz w:val="24"/>
          <w14:textFill>
            <w14:solidFill>
              <w14:schemeClr w14:val="tx1"/>
            </w14:solidFill>
          </w14:textFill>
        </w:rPr>
        <w:fldChar w:fldCharType="begin"/>
      </w:r>
      <w:r>
        <w:rPr>
          <w:rFonts w:hint="eastAsia" w:ascii="微软雅黑" w:hAnsi="微软雅黑" w:eastAsia="微软雅黑" w:cs="仿宋"/>
          <w:color w:val="000000" w:themeColor="text1"/>
          <w:sz w:val="24"/>
          <w14:textFill>
            <w14:solidFill>
              <w14:schemeClr w14:val="tx1"/>
            </w14:solidFill>
          </w14:textFill>
        </w:rPr>
        <w:instrText xml:space="preserve"> TOC \o "1-3" \h \z \u </w:instrText>
      </w:r>
      <w:r>
        <w:rPr>
          <w:rFonts w:hint="eastAsia" w:ascii="微软雅黑" w:hAnsi="微软雅黑" w:eastAsia="微软雅黑" w:cs="仿宋"/>
          <w:color w:val="000000" w:themeColor="text1"/>
          <w:sz w:val="24"/>
          <w14:textFill>
            <w14:solidFill>
              <w14:schemeClr w14:val="tx1"/>
            </w14:solidFill>
          </w14:textFill>
        </w:rPr>
        <w:fldChar w:fldCharType="separate"/>
      </w:r>
      <w:r>
        <w:fldChar w:fldCharType="begin"/>
      </w:r>
      <w:r>
        <w:instrText xml:space="preserve"> HYPERLINK \l "_Toc18254" </w:instrText>
      </w:r>
      <w:r>
        <w:fldChar w:fldCharType="separate"/>
      </w:r>
      <w:r>
        <w:rPr>
          <w:rFonts w:hint="eastAsia" w:ascii="微软雅黑" w:hAnsi="微软雅黑" w:eastAsia="微软雅黑"/>
          <w:color w:val="000000" w:themeColor="text1"/>
          <w:szCs w:val="36"/>
          <w14:textFill>
            <w14:solidFill>
              <w14:schemeClr w14:val="tx1"/>
            </w14:solidFill>
          </w14:textFill>
        </w:rPr>
        <w:t>第一章比选邀请书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_Toc18254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28"/>
        <w:tabs>
          <w:tab w:val="right" w:leader="dot" w:pos="9525"/>
          <w:tab w:val="clear" w:pos="8302"/>
        </w:tabs>
        <w:rPr>
          <w:color w:val="000000" w:themeColor="text1"/>
          <w14:textFill>
            <w14:solidFill>
              <w14:schemeClr w14:val="tx1"/>
            </w14:solidFill>
          </w14:textFill>
        </w:rPr>
      </w:pPr>
      <w:r>
        <w:fldChar w:fldCharType="begin"/>
      </w:r>
      <w:r>
        <w:instrText xml:space="preserve"> HYPERLINK \l "_Toc27859" </w:instrText>
      </w:r>
      <w:r>
        <w:fldChar w:fldCharType="separate"/>
      </w:r>
      <w:r>
        <w:rPr>
          <w:rFonts w:hint="eastAsia" w:ascii="微软雅黑" w:hAnsi="微软雅黑" w:eastAsia="微软雅黑"/>
          <w:color w:val="000000" w:themeColor="text1"/>
          <w:szCs w:val="36"/>
          <w14:textFill>
            <w14:solidFill>
              <w14:schemeClr w14:val="tx1"/>
            </w14:solidFill>
          </w14:textFill>
        </w:rPr>
        <w:t>第二章比选供应商须知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_Toc27859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31"/>
        <w:tabs>
          <w:tab w:val="right" w:leader="dot" w:pos="9525"/>
        </w:tabs>
        <w:rPr>
          <w:color w:val="000000" w:themeColor="text1"/>
          <w14:textFill>
            <w14:solidFill>
              <w14:schemeClr w14:val="tx1"/>
            </w14:solidFill>
          </w14:textFill>
        </w:rPr>
      </w:pPr>
      <w:r>
        <w:fldChar w:fldCharType="begin"/>
      </w:r>
      <w:r>
        <w:instrText xml:space="preserve"> HYPERLINK \l "_Toc26758" </w:instrText>
      </w:r>
      <w:r>
        <w:fldChar w:fldCharType="separate"/>
      </w:r>
      <w:r>
        <w:rPr>
          <w:rFonts w:hint="eastAsia" w:ascii="微软雅黑" w:hAnsi="微软雅黑" w:eastAsia="微软雅黑"/>
          <w:color w:val="000000" w:themeColor="text1"/>
          <w:szCs w:val="28"/>
          <w14:textFill>
            <w14:solidFill>
              <w14:schemeClr w14:val="tx1"/>
            </w14:solidFill>
          </w14:textFill>
        </w:rPr>
        <w:t>一、总则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_Toc26758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31"/>
        <w:tabs>
          <w:tab w:val="right" w:leader="dot" w:pos="9525"/>
        </w:tabs>
        <w:rPr>
          <w:color w:val="000000" w:themeColor="text1"/>
          <w14:textFill>
            <w14:solidFill>
              <w14:schemeClr w14:val="tx1"/>
            </w14:solidFill>
          </w14:textFill>
        </w:rPr>
      </w:pPr>
      <w:r>
        <w:fldChar w:fldCharType="begin"/>
      </w:r>
      <w:r>
        <w:instrText xml:space="preserve"> HYPERLINK \l "_Toc31251" </w:instrText>
      </w:r>
      <w:r>
        <w:fldChar w:fldCharType="separate"/>
      </w:r>
      <w:r>
        <w:rPr>
          <w:rFonts w:hint="eastAsia" w:ascii="微软雅黑" w:hAnsi="微软雅黑" w:eastAsia="微软雅黑"/>
          <w:color w:val="000000" w:themeColor="text1"/>
          <w:szCs w:val="28"/>
          <w14:textFill>
            <w14:solidFill>
              <w14:schemeClr w14:val="tx1"/>
            </w14:solidFill>
          </w14:textFill>
        </w:rPr>
        <w:t>二、比选文件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_Toc31251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31"/>
        <w:tabs>
          <w:tab w:val="right" w:leader="dot" w:pos="9525"/>
        </w:tabs>
        <w:rPr>
          <w:color w:val="000000" w:themeColor="text1"/>
          <w14:textFill>
            <w14:solidFill>
              <w14:schemeClr w14:val="tx1"/>
            </w14:solidFill>
          </w14:textFill>
        </w:rPr>
      </w:pPr>
      <w:r>
        <w:fldChar w:fldCharType="begin"/>
      </w:r>
      <w:r>
        <w:instrText xml:space="preserve"> HYPERLINK \l "_Toc6956" </w:instrText>
      </w:r>
      <w:r>
        <w:fldChar w:fldCharType="separate"/>
      </w:r>
      <w:r>
        <w:rPr>
          <w:rFonts w:hint="eastAsia" w:ascii="微软雅黑" w:hAnsi="微软雅黑" w:eastAsia="微软雅黑"/>
          <w:color w:val="000000" w:themeColor="text1"/>
          <w:szCs w:val="28"/>
          <w14:textFill>
            <w14:solidFill>
              <w14:schemeClr w14:val="tx1"/>
            </w14:solidFill>
          </w14:textFill>
        </w:rPr>
        <w:t>三、比选响应文件的编制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_Toc6956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31"/>
        <w:tabs>
          <w:tab w:val="right" w:leader="dot" w:pos="9525"/>
        </w:tabs>
        <w:rPr>
          <w:color w:val="000000" w:themeColor="text1"/>
          <w14:textFill>
            <w14:solidFill>
              <w14:schemeClr w14:val="tx1"/>
            </w14:solidFill>
          </w14:textFill>
        </w:rPr>
      </w:pPr>
      <w:r>
        <w:fldChar w:fldCharType="begin"/>
      </w:r>
      <w:r>
        <w:instrText xml:space="preserve"> HYPERLINK \l "_Toc19344" </w:instrText>
      </w:r>
      <w:r>
        <w:fldChar w:fldCharType="separate"/>
      </w:r>
      <w:r>
        <w:rPr>
          <w:rFonts w:hint="eastAsia" w:ascii="微软雅黑" w:hAnsi="微软雅黑" w:eastAsia="微软雅黑"/>
          <w:color w:val="000000" w:themeColor="text1"/>
          <w:szCs w:val="28"/>
          <w14:textFill>
            <w14:solidFill>
              <w14:schemeClr w14:val="tx1"/>
            </w14:solidFill>
          </w14:textFill>
        </w:rPr>
        <w:t>四、比选响应文件的递交</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_Toc19344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31"/>
        <w:tabs>
          <w:tab w:val="right" w:leader="dot" w:pos="9525"/>
        </w:tabs>
        <w:rPr>
          <w:color w:val="000000" w:themeColor="text1"/>
          <w14:textFill>
            <w14:solidFill>
              <w14:schemeClr w14:val="tx1"/>
            </w14:solidFill>
          </w14:textFill>
        </w:rPr>
      </w:pPr>
      <w:r>
        <w:fldChar w:fldCharType="begin"/>
      </w:r>
      <w:r>
        <w:instrText xml:space="preserve"> HYPERLINK \l "_Toc138" </w:instrText>
      </w:r>
      <w:r>
        <w:fldChar w:fldCharType="separate"/>
      </w:r>
      <w:r>
        <w:rPr>
          <w:rFonts w:hint="eastAsia" w:ascii="微软雅黑" w:hAnsi="微软雅黑" w:eastAsia="微软雅黑"/>
          <w:color w:val="000000" w:themeColor="text1"/>
          <w:szCs w:val="28"/>
          <w14:textFill>
            <w14:solidFill>
              <w14:schemeClr w14:val="tx1"/>
            </w14:solidFill>
          </w14:textFill>
        </w:rPr>
        <w:t>五、比选与评审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31"/>
        <w:tabs>
          <w:tab w:val="right" w:leader="dot" w:pos="9525"/>
        </w:tabs>
        <w:rPr>
          <w:color w:val="000000" w:themeColor="text1"/>
          <w14:textFill>
            <w14:solidFill>
              <w14:schemeClr w14:val="tx1"/>
            </w14:solidFill>
          </w14:textFill>
        </w:rPr>
      </w:pPr>
      <w:r>
        <w:fldChar w:fldCharType="begin"/>
      </w:r>
      <w:r>
        <w:instrText xml:space="preserve"> HYPERLINK \l "_Toc19357" </w:instrText>
      </w:r>
      <w:r>
        <w:fldChar w:fldCharType="separate"/>
      </w:r>
      <w:r>
        <w:rPr>
          <w:rFonts w:hint="eastAsia" w:ascii="微软雅黑" w:hAnsi="微软雅黑" w:eastAsia="微软雅黑"/>
          <w:color w:val="000000" w:themeColor="text1"/>
          <w:szCs w:val="28"/>
          <w14:textFill>
            <w14:solidFill>
              <w14:schemeClr w14:val="tx1"/>
            </w14:solidFill>
          </w14:textFill>
        </w:rPr>
        <w:t>六、合同的授予</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_Toc19357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28"/>
        <w:tabs>
          <w:tab w:val="right" w:leader="dot" w:pos="9525"/>
          <w:tab w:val="clear" w:pos="8302"/>
        </w:tabs>
        <w:rPr>
          <w:color w:val="000000" w:themeColor="text1"/>
          <w14:textFill>
            <w14:solidFill>
              <w14:schemeClr w14:val="tx1"/>
            </w14:solidFill>
          </w14:textFill>
        </w:rPr>
      </w:pPr>
      <w:r>
        <w:fldChar w:fldCharType="begin"/>
      </w:r>
      <w:r>
        <w:instrText xml:space="preserve"> HYPERLINK \l "_Toc14093" </w:instrText>
      </w:r>
      <w:r>
        <w:fldChar w:fldCharType="separate"/>
      </w:r>
      <w:r>
        <w:rPr>
          <w:rFonts w:hint="eastAsia" w:ascii="微软雅黑" w:hAnsi="微软雅黑" w:eastAsia="微软雅黑"/>
          <w:bCs/>
          <w:color w:val="000000" w:themeColor="text1"/>
          <w:szCs w:val="28"/>
          <w14:textFill>
            <w14:solidFill>
              <w14:schemeClr w14:val="tx1"/>
            </w14:solidFill>
          </w14:textFill>
        </w:rPr>
        <w:t>第三章合同格式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_Toc14093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28"/>
        <w:tabs>
          <w:tab w:val="right" w:leader="dot" w:pos="9525"/>
          <w:tab w:val="clear" w:pos="8302"/>
        </w:tabs>
        <w:rPr>
          <w:color w:val="000000" w:themeColor="text1"/>
          <w14:textFill>
            <w14:solidFill>
              <w14:schemeClr w14:val="tx1"/>
            </w14:solidFill>
          </w14:textFill>
        </w:rPr>
      </w:pPr>
      <w:r>
        <w:fldChar w:fldCharType="begin"/>
      </w:r>
      <w:r>
        <w:instrText xml:space="preserve"> HYPERLINK \l "_Toc11957" </w:instrText>
      </w:r>
      <w:r>
        <w:fldChar w:fldCharType="separate"/>
      </w:r>
      <w:r>
        <w:rPr>
          <w:rFonts w:hint="eastAsia" w:ascii="微软雅黑" w:hAnsi="微软雅黑" w:eastAsia="微软雅黑"/>
          <w:color w:val="000000" w:themeColor="text1"/>
          <w:szCs w:val="36"/>
          <w14:textFill>
            <w14:solidFill>
              <w14:schemeClr w14:val="tx1"/>
            </w14:solidFill>
          </w14:textFill>
        </w:rPr>
        <w:t>第</w:t>
      </w:r>
      <w:r>
        <w:rPr>
          <w:rFonts w:ascii="微软雅黑" w:hAnsi="微软雅黑" w:eastAsia="微软雅黑"/>
          <w:color w:val="000000" w:themeColor="text1"/>
          <w:szCs w:val="36"/>
          <w14:textFill>
            <w14:solidFill>
              <w14:schemeClr w14:val="tx1"/>
            </w14:solidFill>
          </w14:textFill>
        </w:rPr>
        <w:t>四章</w:t>
      </w:r>
      <w:r>
        <w:rPr>
          <w:rFonts w:hint="eastAsia" w:ascii="微软雅黑" w:hAnsi="微软雅黑" w:eastAsia="微软雅黑"/>
          <w:color w:val="000000" w:themeColor="text1"/>
          <w:szCs w:val="36"/>
          <w14:textFill>
            <w14:solidFill>
              <w14:schemeClr w14:val="tx1"/>
            </w14:solidFill>
          </w14:textFill>
        </w:rPr>
        <w:t>项目需求及说明</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_Toc11957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28"/>
        <w:tabs>
          <w:tab w:val="right" w:leader="dot" w:pos="9525"/>
          <w:tab w:val="clear" w:pos="8302"/>
        </w:tabs>
        <w:rPr>
          <w:color w:val="000000" w:themeColor="text1"/>
          <w14:textFill>
            <w14:solidFill>
              <w14:schemeClr w14:val="tx1"/>
            </w14:solidFill>
          </w14:textFill>
        </w:rPr>
      </w:pPr>
      <w:r>
        <w:fldChar w:fldCharType="begin"/>
      </w:r>
      <w:r>
        <w:instrText xml:space="preserve"> HYPERLINK \l "_Toc31230" </w:instrText>
      </w:r>
      <w:r>
        <w:fldChar w:fldCharType="separate"/>
      </w:r>
      <w:r>
        <w:rPr>
          <w:rFonts w:hint="eastAsia" w:ascii="微软雅黑" w:hAnsi="微软雅黑" w:eastAsia="微软雅黑"/>
          <w:color w:val="000000" w:themeColor="text1"/>
          <w:szCs w:val="36"/>
          <w14:textFill>
            <w14:solidFill>
              <w14:schemeClr w14:val="tx1"/>
            </w14:solidFill>
          </w14:textFill>
        </w:rPr>
        <w:t>第</w:t>
      </w:r>
      <w:r>
        <w:rPr>
          <w:rFonts w:ascii="微软雅黑" w:hAnsi="微软雅黑" w:eastAsia="微软雅黑"/>
          <w:color w:val="000000" w:themeColor="text1"/>
          <w:szCs w:val="36"/>
          <w14:textFill>
            <w14:solidFill>
              <w14:schemeClr w14:val="tx1"/>
            </w14:solidFill>
          </w14:textFill>
        </w:rPr>
        <w:t>五章</w:t>
      </w:r>
      <w:r>
        <w:rPr>
          <w:rFonts w:hint="eastAsia" w:ascii="微软雅黑" w:hAnsi="微软雅黑" w:eastAsia="微软雅黑"/>
          <w:color w:val="000000" w:themeColor="text1"/>
          <w:szCs w:val="36"/>
          <w14:textFill>
            <w14:solidFill>
              <w14:schemeClr w14:val="tx1"/>
            </w14:solidFill>
          </w14:textFill>
        </w:rPr>
        <w:t>比选响应文件格式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_Toc31230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31"/>
        <w:tabs>
          <w:tab w:val="right" w:leader="dot" w:pos="9525"/>
        </w:tabs>
        <w:rPr>
          <w:color w:val="000000" w:themeColor="text1"/>
          <w14:textFill>
            <w14:solidFill>
              <w14:schemeClr w14:val="tx1"/>
            </w14:solidFill>
          </w14:textFill>
        </w:rPr>
      </w:pPr>
      <w:r>
        <w:fldChar w:fldCharType="begin"/>
      </w:r>
      <w:r>
        <w:instrText xml:space="preserve"> HYPERLINK \l "_Toc8400" </w:instrText>
      </w:r>
      <w:r>
        <w:fldChar w:fldCharType="separate"/>
      </w:r>
      <w:r>
        <w:rPr>
          <w:rFonts w:hint="eastAsia" w:ascii="微软雅黑" w:hAnsi="微软雅黑" w:eastAsia="微软雅黑"/>
          <w:color w:val="000000" w:themeColor="text1"/>
          <w14:textFill>
            <w14:solidFill>
              <w14:schemeClr w14:val="tx1"/>
            </w14:solidFill>
          </w14:textFill>
        </w:rPr>
        <w:t>一、比选函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_Toc8400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31"/>
        <w:tabs>
          <w:tab w:val="right" w:leader="dot" w:pos="9525"/>
        </w:tabs>
        <w:rPr>
          <w:color w:val="000000" w:themeColor="text1"/>
          <w14:textFill>
            <w14:solidFill>
              <w14:schemeClr w14:val="tx1"/>
            </w14:solidFill>
          </w14:textFill>
        </w:rPr>
      </w:pPr>
      <w:r>
        <w:fldChar w:fldCharType="begin"/>
      </w:r>
      <w:r>
        <w:instrText xml:space="preserve"> HYPERLINK \l "_Toc29701" </w:instrText>
      </w:r>
      <w:r>
        <w:fldChar w:fldCharType="separate"/>
      </w:r>
      <w:r>
        <w:rPr>
          <w:rFonts w:hint="eastAsia" w:ascii="微软雅黑" w:hAnsi="微软雅黑" w:eastAsia="微软雅黑"/>
          <w:color w:val="000000" w:themeColor="text1"/>
          <w14:textFill>
            <w14:solidFill>
              <w14:schemeClr w14:val="tx1"/>
            </w14:solidFill>
          </w14:textFill>
        </w:rPr>
        <w:t>二、比选报价明细表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_Toc29701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31"/>
        <w:tabs>
          <w:tab w:val="right" w:leader="dot" w:pos="9525"/>
        </w:tabs>
        <w:rPr>
          <w:color w:val="000000" w:themeColor="text1"/>
          <w14:textFill>
            <w14:solidFill>
              <w14:schemeClr w14:val="tx1"/>
            </w14:solidFill>
          </w14:textFill>
        </w:rPr>
      </w:pPr>
      <w:r>
        <w:fldChar w:fldCharType="begin"/>
      </w:r>
      <w:r>
        <w:instrText xml:space="preserve"> HYPERLINK \l "_Toc15959" </w:instrText>
      </w:r>
      <w:r>
        <w:fldChar w:fldCharType="separate"/>
      </w:r>
      <w:r>
        <w:rPr>
          <w:rFonts w:hint="eastAsia" w:ascii="微软雅黑" w:hAnsi="微软雅黑" w:eastAsia="微软雅黑"/>
          <w:color w:val="000000" w:themeColor="text1"/>
          <w14:textFill>
            <w14:solidFill>
              <w14:schemeClr w14:val="tx1"/>
            </w14:solidFill>
          </w14:textFill>
        </w:rPr>
        <w:t>三、资质证明文件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_Toc15959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31"/>
        <w:tabs>
          <w:tab w:val="right" w:leader="dot" w:pos="9525"/>
        </w:tabs>
        <w:rPr>
          <w:color w:val="000000" w:themeColor="text1"/>
          <w14:textFill>
            <w14:solidFill>
              <w14:schemeClr w14:val="tx1"/>
            </w14:solidFill>
          </w14:textFill>
        </w:rPr>
      </w:pPr>
      <w:r>
        <w:fldChar w:fldCharType="begin"/>
      </w:r>
      <w:r>
        <w:instrText xml:space="preserve"> HYPERLINK \l "_Toc699" </w:instrText>
      </w:r>
      <w:r>
        <w:fldChar w:fldCharType="separate"/>
      </w:r>
      <w:r>
        <w:rPr>
          <w:rFonts w:hint="eastAsia" w:ascii="微软雅黑" w:hAnsi="微软雅黑" w:eastAsia="微软雅黑"/>
          <w:color w:val="000000" w:themeColor="text1"/>
          <w14:textFill>
            <w14:solidFill>
              <w14:schemeClr w14:val="tx1"/>
            </w14:solidFill>
          </w14:textFill>
        </w:rPr>
        <w:t>四、项目施工方案</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_Toc699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28"/>
        <w:tabs>
          <w:tab w:val="right" w:leader="dot" w:pos="9525"/>
          <w:tab w:val="clear" w:pos="8302"/>
        </w:tabs>
        <w:rPr>
          <w:color w:val="000000" w:themeColor="text1"/>
          <w14:textFill>
            <w14:solidFill>
              <w14:schemeClr w14:val="tx1"/>
            </w14:solidFill>
          </w14:textFill>
        </w:rPr>
      </w:pPr>
      <w:r>
        <w:fldChar w:fldCharType="begin"/>
      </w:r>
      <w:r>
        <w:instrText xml:space="preserve"> HYPERLINK \l "_Toc15858" </w:instrText>
      </w:r>
      <w:r>
        <w:fldChar w:fldCharType="separate"/>
      </w:r>
      <w:r>
        <w:rPr>
          <w:rFonts w:hint="eastAsia" w:ascii="微软雅黑" w:hAnsi="微软雅黑" w:eastAsia="微软雅黑"/>
          <w:color w:val="000000" w:themeColor="text1"/>
          <w:szCs w:val="36"/>
          <w14:textFill>
            <w14:solidFill>
              <w14:schemeClr w14:val="tx1"/>
            </w14:solidFill>
          </w14:textFill>
        </w:rPr>
        <w:t>第六章、评审办法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_Toc15858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widowControl w:val="0"/>
        <w:tabs>
          <w:tab w:val="left" w:pos="420"/>
          <w:tab w:val="left" w:pos="1260"/>
          <w:tab w:val="right" w:leader="dot" w:pos="8302"/>
        </w:tabs>
        <w:spacing w:line="300" w:lineRule="exact"/>
        <w:ind w:left="420" w:leftChars="200"/>
        <w:rPr>
          <w:rFonts w:ascii="微软雅黑" w:hAnsi="微软雅黑" w:eastAsia="微软雅黑" w:cs="仿宋"/>
          <w:color w:val="000000" w:themeColor="text1"/>
          <w:sz w:val="24"/>
          <w14:textFill>
            <w14:solidFill>
              <w14:schemeClr w14:val="tx1"/>
            </w14:solidFill>
          </w14:textFill>
        </w:rPr>
      </w:pPr>
      <w:r>
        <w:rPr>
          <w:rFonts w:hint="eastAsia" w:ascii="微软雅黑" w:hAnsi="微软雅黑" w:eastAsia="微软雅黑" w:cs="仿宋"/>
          <w:color w:val="000000" w:themeColor="text1"/>
          <w14:textFill>
            <w14:solidFill>
              <w14:schemeClr w14:val="tx1"/>
            </w14:solidFill>
          </w14:textFill>
        </w:rPr>
        <w:fldChar w:fldCharType="end"/>
      </w:r>
    </w:p>
    <w:p>
      <w:pPr>
        <w:rPr>
          <w:rFonts w:ascii="微软雅黑" w:hAnsi="微软雅黑" w:eastAsia="微软雅黑" w:cs="仿宋"/>
          <w:color w:val="000000" w:themeColor="text1"/>
          <w:sz w:val="24"/>
          <w14:textFill>
            <w14:solidFill>
              <w14:schemeClr w14:val="tx1"/>
            </w14:solidFill>
          </w14:textFill>
        </w:rPr>
        <w:sectPr>
          <w:headerReference r:id="rId9" w:type="default"/>
          <w:footerReference r:id="rId10" w:type="default"/>
          <w:pgSz w:w="11906" w:h="16838"/>
          <w:pgMar w:top="851" w:right="1134" w:bottom="851" w:left="1247" w:header="851" w:footer="992" w:gutter="0"/>
          <w:pgNumType w:start="1"/>
          <w:cols w:space="720" w:num="1"/>
          <w:docGrid w:type="lines" w:linePitch="312" w:charSpace="0"/>
        </w:sectPr>
      </w:pPr>
    </w:p>
    <w:p>
      <w:pPr>
        <w:pStyle w:val="2"/>
        <w:keepLines w:val="0"/>
        <w:widowControl w:val="0"/>
        <w:tabs>
          <w:tab w:val="left" w:pos="1530"/>
          <w:tab w:val="left" w:pos="3360"/>
          <w:tab w:val="left" w:pos="8052"/>
        </w:tabs>
        <w:adjustRightInd/>
        <w:spacing w:line="480" w:lineRule="auto"/>
        <w:ind w:left="1531" w:hanging="1531"/>
        <w:rPr>
          <w:rFonts w:ascii="微软雅黑" w:hAnsi="微软雅黑" w:eastAsia="微软雅黑"/>
          <w:bCs w:val="0"/>
          <w:color w:val="000000" w:themeColor="text1"/>
          <w:kern w:val="2"/>
          <w:szCs w:val="36"/>
          <w14:textFill>
            <w14:solidFill>
              <w14:schemeClr w14:val="tx1"/>
            </w14:solidFill>
          </w14:textFill>
        </w:rPr>
      </w:pPr>
      <w:bookmarkStart w:id="1" w:name="_Toc18254"/>
      <w:r>
        <w:rPr>
          <w:rFonts w:hint="eastAsia" w:ascii="微软雅黑" w:hAnsi="微软雅黑" w:eastAsia="微软雅黑"/>
          <w:bCs w:val="0"/>
          <w:color w:val="000000" w:themeColor="text1"/>
          <w:kern w:val="2"/>
          <w:szCs w:val="36"/>
          <w14:textFill>
            <w14:solidFill>
              <w14:schemeClr w14:val="tx1"/>
            </w14:solidFill>
          </w14:textFill>
        </w:rPr>
        <w:t>第一章比选邀请书</w:t>
      </w:r>
      <w:bookmarkEnd w:id="1"/>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（被邀请单位名称）：</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重庆市计量质量检测研究院按照《重庆市财政局</w:t>
      </w:r>
      <w:r>
        <w:rPr>
          <w:rFonts w:hint="eastAsia" w:ascii="微软雅黑" w:hAnsi="微软雅黑" w:eastAsia="微软雅黑"/>
          <w:szCs w:val="21"/>
        </w:rPr>
        <w:t>关于印发&lt;重庆市政府集中采购目录及采购限额标准&gt;的通知》（渝财规〔2023〕10号）文件精神</w:t>
      </w:r>
      <w:r>
        <w:rPr>
          <w:rFonts w:hint="eastAsia" w:ascii="微软雅黑" w:hAnsi="微软雅黑" w:eastAsia="微软雅黑"/>
          <w:color w:val="000000" w:themeColor="text1"/>
          <w:szCs w:val="21"/>
          <w14:textFill>
            <w14:solidFill>
              <w14:schemeClr w14:val="tx1"/>
            </w14:solidFill>
          </w14:textFill>
        </w:rPr>
        <w:t>及其说明，</w:t>
      </w:r>
      <w:r>
        <w:rPr>
          <w:rFonts w:hint="eastAsia" w:ascii="微软雅黑" w:hAnsi="微软雅黑" w:eastAsia="微软雅黑"/>
          <w:color w:val="auto"/>
          <w:szCs w:val="21"/>
        </w:rPr>
        <w:t>对“院本部部分实验室改造项目”</w:t>
      </w:r>
      <w:r>
        <w:rPr>
          <w:rFonts w:hint="eastAsia" w:ascii="微软雅黑" w:hAnsi="微软雅黑" w:eastAsia="微软雅黑"/>
          <w:color w:val="000000" w:themeColor="text1"/>
          <w:szCs w:val="21"/>
          <w14:textFill>
            <w14:solidFill>
              <w14:schemeClr w14:val="tx1"/>
            </w14:solidFill>
          </w14:textFill>
        </w:rPr>
        <w:t>组织竞争性比选采购，</w:t>
      </w:r>
      <w:r>
        <w:rPr>
          <w:rFonts w:ascii="微软雅黑" w:hAnsi="微软雅黑" w:eastAsia="微软雅黑"/>
          <w:color w:val="000000" w:themeColor="text1"/>
          <w:szCs w:val="21"/>
          <w14:textFill>
            <w14:solidFill>
              <w14:schemeClr w14:val="tx1"/>
            </w14:solidFill>
          </w14:textFill>
        </w:rPr>
        <w:t>请</w:t>
      </w:r>
      <w:r>
        <w:rPr>
          <w:rFonts w:hint="eastAsia" w:ascii="微软雅黑" w:hAnsi="微软雅黑" w:eastAsia="微软雅黑"/>
          <w:color w:val="000000" w:themeColor="text1"/>
          <w:szCs w:val="21"/>
          <w14:textFill>
            <w14:solidFill>
              <w14:schemeClr w14:val="tx1"/>
            </w14:solidFill>
          </w14:textFill>
        </w:rPr>
        <w:t>被邀请供应商</w:t>
      </w:r>
      <w:r>
        <w:rPr>
          <w:rFonts w:ascii="微软雅黑" w:hAnsi="微软雅黑" w:eastAsia="微软雅黑"/>
          <w:color w:val="000000" w:themeColor="text1"/>
          <w:szCs w:val="21"/>
          <w14:textFill>
            <w14:solidFill>
              <w14:schemeClr w14:val="tx1"/>
            </w14:solidFill>
          </w14:textFill>
        </w:rPr>
        <w:t>就如下项目提交密封响应文件并进行</w:t>
      </w:r>
      <w:r>
        <w:rPr>
          <w:rFonts w:hint="eastAsia" w:ascii="微软雅黑" w:hAnsi="微软雅黑" w:eastAsia="微软雅黑"/>
          <w:color w:val="000000" w:themeColor="text1"/>
          <w:szCs w:val="21"/>
          <w14:textFill>
            <w14:solidFill>
              <w14:schemeClr w14:val="tx1"/>
            </w14:solidFill>
          </w14:textFill>
        </w:rPr>
        <w:t>比选</w:t>
      </w:r>
      <w:r>
        <w:rPr>
          <w:rFonts w:ascii="微软雅黑" w:hAnsi="微软雅黑" w:eastAsia="微软雅黑"/>
          <w:color w:val="000000" w:themeColor="text1"/>
          <w:szCs w:val="21"/>
          <w14:textFill>
            <w14:solidFill>
              <w14:schemeClr w14:val="tx1"/>
            </w14:solidFill>
          </w14:textFill>
        </w:rPr>
        <w:t>。</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1．采购内容：院本部部分实验室改造项目</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2．项目概况</w:t>
      </w:r>
      <w:r>
        <w:rPr>
          <w:rFonts w:hint="eastAsia" w:ascii="微软雅黑" w:hAnsi="微软雅黑" w:eastAsia="微软雅黑"/>
          <w:color w:val="000000" w:themeColor="text1"/>
          <w:szCs w:val="21"/>
          <w14:textFill>
            <w14:solidFill>
              <w14:schemeClr w14:val="tx1"/>
            </w14:solidFill>
          </w14:textFill>
        </w:rPr>
        <w:t>：</w:t>
      </w:r>
    </w:p>
    <w:tbl>
      <w:tblPr>
        <w:tblStyle w:val="40"/>
        <w:tblW w:w="8935"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3727"/>
        <w:gridCol w:w="2204"/>
        <w:gridCol w:w="988"/>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vAlign w:val="center"/>
          </w:tcPr>
          <w:p>
            <w:pPr>
              <w:widowControl w:val="0"/>
              <w:snapToGrid w:val="0"/>
              <w:jc w:val="center"/>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序号</w:t>
            </w:r>
          </w:p>
        </w:tc>
        <w:tc>
          <w:tcPr>
            <w:tcW w:w="3727" w:type="dxa"/>
            <w:vAlign w:val="center"/>
          </w:tcPr>
          <w:p>
            <w:pPr>
              <w:widowControl w:val="0"/>
              <w:snapToGrid w:val="0"/>
              <w:jc w:val="center"/>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内容</w:t>
            </w:r>
          </w:p>
        </w:tc>
        <w:tc>
          <w:tcPr>
            <w:tcW w:w="2204" w:type="dxa"/>
            <w:vAlign w:val="center"/>
          </w:tcPr>
          <w:p>
            <w:pPr>
              <w:widowControl w:val="0"/>
              <w:snapToGrid w:val="0"/>
              <w:jc w:val="center"/>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采购预算及最高限价</w:t>
            </w:r>
          </w:p>
        </w:tc>
        <w:tc>
          <w:tcPr>
            <w:tcW w:w="988" w:type="dxa"/>
            <w:vAlign w:val="center"/>
          </w:tcPr>
          <w:p>
            <w:pPr>
              <w:widowControl w:val="0"/>
              <w:snapToGrid w:val="0"/>
              <w:jc w:val="center"/>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中选人数量</w:t>
            </w:r>
          </w:p>
        </w:tc>
        <w:tc>
          <w:tcPr>
            <w:tcW w:w="1335" w:type="dxa"/>
            <w:vAlign w:val="center"/>
          </w:tcPr>
          <w:p>
            <w:pPr>
              <w:widowControl w:val="0"/>
              <w:snapToGrid w:val="0"/>
              <w:jc w:val="center"/>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681" w:type="dxa"/>
            <w:vAlign w:val="center"/>
          </w:tcPr>
          <w:p>
            <w:pPr>
              <w:widowControl w:val="0"/>
              <w:snapToGrid w:val="0"/>
              <w:jc w:val="center"/>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w:t>
            </w:r>
          </w:p>
        </w:tc>
        <w:tc>
          <w:tcPr>
            <w:tcW w:w="3727" w:type="dxa"/>
            <w:vAlign w:val="center"/>
          </w:tcPr>
          <w:p>
            <w:pPr>
              <w:widowControl w:val="0"/>
              <w:snapToGrid w:val="0"/>
              <w:jc w:val="center"/>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院本部部分实验室改造项目</w:t>
            </w:r>
          </w:p>
        </w:tc>
        <w:tc>
          <w:tcPr>
            <w:tcW w:w="2204" w:type="dxa"/>
            <w:vAlign w:val="center"/>
          </w:tcPr>
          <w:p>
            <w:pPr>
              <w:widowControl w:val="0"/>
              <w:snapToGrid w:val="0"/>
              <w:jc w:val="center"/>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lang w:val="en-US" w:eastAsia="zh-CN"/>
                <w14:textFill>
                  <w14:solidFill>
                    <w14:schemeClr w14:val="tx1"/>
                  </w14:solidFill>
                </w14:textFill>
              </w:rPr>
              <w:t>81634.16</w:t>
            </w:r>
            <w:r>
              <w:rPr>
                <w:rFonts w:hint="eastAsia" w:ascii="微软雅黑" w:hAnsi="微软雅黑" w:eastAsia="微软雅黑"/>
                <w:color w:val="000000" w:themeColor="text1"/>
                <w:szCs w:val="21"/>
                <w14:textFill>
                  <w14:solidFill>
                    <w14:schemeClr w14:val="tx1"/>
                  </w14:solidFill>
                </w14:textFill>
              </w:rPr>
              <w:t>元</w:t>
            </w:r>
          </w:p>
        </w:tc>
        <w:tc>
          <w:tcPr>
            <w:tcW w:w="988" w:type="dxa"/>
            <w:vAlign w:val="center"/>
          </w:tcPr>
          <w:p>
            <w:pPr>
              <w:widowControl w:val="0"/>
              <w:snapToGrid w:val="0"/>
              <w:jc w:val="center"/>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w:t>
            </w:r>
          </w:p>
        </w:tc>
        <w:tc>
          <w:tcPr>
            <w:tcW w:w="1335" w:type="dxa"/>
            <w:vAlign w:val="center"/>
          </w:tcPr>
          <w:p>
            <w:pPr>
              <w:widowControl w:val="0"/>
              <w:snapToGrid w:val="0"/>
              <w:jc w:val="center"/>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w:t>
            </w:r>
          </w:p>
        </w:tc>
      </w:tr>
    </w:tbl>
    <w:p>
      <w:pPr>
        <w:snapToGrid w:val="0"/>
        <w:spacing w:line="440" w:lineRule="exact"/>
        <w:ind w:firstLine="420" w:firstLineChars="200"/>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3．</w:t>
      </w:r>
      <w:r>
        <w:rPr>
          <w:rFonts w:ascii="微软雅黑" w:hAnsi="微软雅黑" w:eastAsia="微软雅黑"/>
          <w:b/>
          <w:color w:val="000000" w:themeColor="text1"/>
          <w:szCs w:val="21"/>
          <w14:textFill>
            <w14:solidFill>
              <w14:schemeClr w14:val="tx1"/>
            </w14:solidFill>
          </w14:textFill>
        </w:rPr>
        <w:t>资金来源</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自筹资金，已落实。</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b/>
          <w:color w:val="000000" w:themeColor="text1"/>
          <w:szCs w:val="21"/>
          <w14:textFill>
            <w14:solidFill>
              <w14:schemeClr w14:val="tx1"/>
            </w14:solidFill>
          </w14:textFill>
        </w:rPr>
        <w:t>4</w:t>
      </w:r>
      <w:r>
        <w:rPr>
          <w:rFonts w:hint="eastAsia" w:ascii="微软雅黑" w:hAnsi="微软雅黑" w:eastAsia="微软雅黑"/>
          <w:b/>
          <w:color w:val="000000" w:themeColor="text1"/>
          <w:szCs w:val="21"/>
          <w14:textFill>
            <w14:solidFill>
              <w14:schemeClr w14:val="tx1"/>
            </w14:solidFill>
          </w14:textFill>
        </w:rPr>
        <w:t>．供应商资格要求</w:t>
      </w:r>
      <w:r>
        <w:rPr>
          <w:rFonts w:hint="eastAsia" w:ascii="微软雅黑" w:hAnsi="微软雅黑" w:eastAsia="微软雅黑"/>
          <w:color w:val="000000" w:themeColor="text1"/>
          <w:szCs w:val="21"/>
          <w14:textFill>
            <w14:solidFill>
              <w14:schemeClr w14:val="tx1"/>
            </w14:solidFill>
          </w14:textFill>
        </w:rPr>
        <w:t>：</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(1)满足《中华人民共和国政府采购法》第二十二条要求，包括：</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　　具有独立承担民事责任的能力；</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　　具有良好的商业信誉和健全的财务会计制度；</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　　具有履行合同所必须的设备和专业技术能力；</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　　有依法缴纳税收和社会保障资金的良好记录；</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　　参加此采购活动前三年内，在经营活动中没有重大违法记录；</w:t>
      </w:r>
    </w:p>
    <w:p>
      <w:pPr>
        <w:snapToGrid w:val="0"/>
        <w:spacing w:line="440" w:lineRule="exact"/>
        <w:ind w:firstLine="840" w:firstLineChars="4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符合法律、法规规定的其他条件。</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（2）本项目的特定资格要求：</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供应商须具有建设行政主管部门颁发有效的建筑工程施工总承包叁级及以上或建筑装修装饰工程专业承包贰级及以上资质。供应商须具备建设行政主管部门颁发的有效的安全生产许可证。（提供证书复印件加盖供应商公章）</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b/>
          <w:color w:val="000000" w:themeColor="text1"/>
          <w:szCs w:val="21"/>
          <w14:textFill>
            <w14:solidFill>
              <w14:schemeClr w14:val="tx1"/>
            </w14:solidFill>
          </w14:textFill>
        </w:rPr>
        <w:t>5</w:t>
      </w:r>
      <w:r>
        <w:rPr>
          <w:rFonts w:hint="eastAsia" w:ascii="微软雅黑" w:hAnsi="微软雅黑" w:eastAsia="微软雅黑"/>
          <w:b/>
          <w:color w:val="000000" w:themeColor="text1"/>
          <w:szCs w:val="21"/>
          <w14:textFill>
            <w14:solidFill>
              <w14:schemeClr w14:val="tx1"/>
            </w14:solidFill>
          </w14:textFill>
        </w:rPr>
        <w:t>．比选文件的获取</w:t>
      </w:r>
      <w:r>
        <w:rPr>
          <w:rFonts w:hint="eastAsia" w:ascii="微软雅黑" w:hAnsi="微软雅黑" w:eastAsia="微软雅黑"/>
          <w:color w:val="000000" w:themeColor="text1"/>
          <w:szCs w:val="21"/>
          <w14:textFill>
            <w14:solidFill>
              <w14:schemeClr w14:val="tx1"/>
            </w14:solidFill>
          </w14:textFill>
        </w:rPr>
        <w:t>：</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凡有意参加比选的供应商，请于公告发布之日（2026年</w:t>
      </w:r>
      <w:r>
        <w:rPr>
          <w:rFonts w:hint="eastAsia" w:ascii="微软雅黑" w:hAnsi="微软雅黑" w:eastAsia="微软雅黑"/>
          <w:color w:val="000000" w:themeColor="text1"/>
          <w:szCs w:val="21"/>
          <w:lang w:val="en-US" w:eastAsia="zh-CN"/>
          <w14:textFill>
            <w14:solidFill>
              <w14:schemeClr w14:val="tx1"/>
            </w14:solidFill>
          </w14:textFill>
        </w:rPr>
        <w:t>7</w:t>
      </w:r>
      <w:r>
        <w:rPr>
          <w:rFonts w:hint="eastAsia" w:ascii="微软雅黑" w:hAnsi="微软雅黑" w:eastAsia="微软雅黑"/>
          <w:color w:val="000000" w:themeColor="text1"/>
          <w:szCs w:val="21"/>
          <w14:textFill>
            <w14:solidFill>
              <w14:schemeClr w14:val="tx1"/>
            </w14:solidFill>
          </w14:textFill>
        </w:rPr>
        <w:t>月</w:t>
      </w:r>
      <w:r>
        <w:rPr>
          <w:rFonts w:hint="eastAsia" w:ascii="微软雅黑" w:hAnsi="微软雅黑" w:eastAsia="微软雅黑"/>
          <w:color w:val="000000" w:themeColor="text1"/>
          <w:szCs w:val="21"/>
          <w:lang w:val="en-US" w:eastAsia="zh-CN"/>
          <w14:textFill>
            <w14:solidFill>
              <w14:schemeClr w14:val="tx1"/>
            </w14:solidFill>
          </w14:textFill>
        </w:rPr>
        <w:t>28</w:t>
      </w:r>
      <w:r>
        <w:rPr>
          <w:rFonts w:hint="eastAsia" w:ascii="微软雅黑" w:hAnsi="微软雅黑" w:eastAsia="微软雅黑"/>
          <w:color w:val="000000" w:themeColor="text1"/>
          <w:szCs w:val="21"/>
          <w14:textFill>
            <w14:solidFill>
              <w14:schemeClr w14:val="tx1"/>
            </w14:solidFill>
          </w14:textFill>
        </w:rPr>
        <w:t>日）起至比选响应文件递交截止时间之前，到重庆市计量质量检测研究院门户网站（https://www.cqjz.com.cn/）下载比选文件。无论潜在供应商领取与否，均视为已知晓所有比选实质性要求内容。</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6．响应文件的递交</w:t>
      </w:r>
      <w:r>
        <w:rPr>
          <w:rFonts w:hint="eastAsia" w:ascii="微软雅黑" w:hAnsi="微软雅黑" w:eastAsia="微软雅黑"/>
          <w:color w:val="000000" w:themeColor="text1"/>
          <w:szCs w:val="21"/>
          <w14:textFill>
            <w14:solidFill>
              <w14:schemeClr w14:val="tx1"/>
            </w14:solidFill>
          </w14:textFill>
        </w:rPr>
        <w:t>：比选响应文件须密封后于2026年</w:t>
      </w:r>
      <w:r>
        <w:rPr>
          <w:rFonts w:hint="eastAsia" w:ascii="微软雅黑" w:hAnsi="微软雅黑" w:eastAsia="微软雅黑"/>
          <w:color w:val="000000" w:themeColor="text1"/>
          <w:szCs w:val="21"/>
          <w:lang w:val="en-US" w:eastAsia="zh-CN"/>
          <w14:textFill>
            <w14:solidFill>
              <w14:schemeClr w14:val="tx1"/>
            </w14:solidFill>
          </w14:textFill>
        </w:rPr>
        <w:t>8</w:t>
      </w:r>
      <w:r>
        <w:rPr>
          <w:rFonts w:hint="eastAsia" w:ascii="微软雅黑" w:hAnsi="微软雅黑" w:eastAsia="微软雅黑"/>
          <w:color w:val="000000" w:themeColor="text1"/>
          <w:szCs w:val="21"/>
          <w14:textFill>
            <w14:solidFill>
              <w14:schemeClr w14:val="tx1"/>
            </w14:solidFill>
          </w14:textFill>
        </w:rPr>
        <w:t>月</w:t>
      </w:r>
      <w:r>
        <w:rPr>
          <w:rFonts w:hint="eastAsia" w:ascii="微软雅黑" w:hAnsi="微软雅黑" w:eastAsia="微软雅黑"/>
          <w:color w:val="000000" w:themeColor="text1"/>
          <w:szCs w:val="21"/>
          <w:lang w:val="en-US" w:eastAsia="zh-CN"/>
          <w14:textFill>
            <w14:solidFill>
              <w14:schemeClr w14:val="tx1"/>
            </w14:solidFill>
          </w14:textFill>
        </w:rPr>
        <w:t>4</w:t>
      </w:r>
      <w:r>
        <w:rPr>
          <w:rFonts w:hint="eastAsia" w:ascii="微软雅黑" w:hAnsi="微软雅黑" w:eastAsia="微软雅黑"/>
          <w:color w:val="000000" w:themeColor="text1"/>
          <w:szCs w:val="21"/>
          <w14:textFill>
            <w14:solidFill>
              <w14:schemeClr w14:val="tx1"/>
            </w14:solidFill>
          </w14:textFill>
        </w:rPr>
        <w:t>日</w:t>
      </w:r>
      <w:r>
        <w:rPr>
          <w:rFonts w:hint="eastAsia" w:ascii="微软雅黑" w:hAnsi="微软雅黑" w:eastAsia="微软雅黑"/>
          <w:color w:val="000000" w:themeColor="text1"/>
          <w:szCs w:val="21"/>
          <w:lang w:val="en-US" w:eastAsia="zh-CN"/>
          <w14:textFill>
            <w14:solidFill>
              <w14:schemeClr w14:val="tx1"/>
            </w14:solidFill>
          </w14:textFill>
        </w:rPr>
        <w:t>12:00</w:t>
      </w:r>
      <w:bookmarkStart w:id="87" w:name="_GoBack"/>
      <w:bookmarkEnd w:id="87"/>
      <w:r>
        <w:rPr>
          <w:rFonts w:hint="eastAsia" w:ascii="微软雅黑" w:hAnsi="微软雅黑" w:eastAsia="微软雅黑"/>
          <w:color w:val="000000" w:themeColor="text1"/>
          <w:szCs w:val="21"/>
          <w14:textFill>
            <w14:solidFill>
              <w14:schemeClr w14:val="tx1"/>
            </w14:solidFill>
          </w14:textFill>
        </w:rPr>
        <w:t>时前，递</w:t>
      </w:r>
      <w:r>
        <w:rPr>
          <w:rFonts w:hint="eastAsia" w:ascii="微软雅黑" w:hAnsi="微软雅黑" w:eastAsia="微软雅黑"/>
          <w:color w:val="000000" w:themeColor="text1"/>
          <w:szCs w:val="21"/>
          <w:lang w:eastAsia="zh-CN"/>
          <w14:textFill>
            <w14:solidFill>
              <w14:schemeClr w14:val="tx1"/>
            </w14:solidFill>
          </w14:textFill>
        </w:rPr>
        <w:t>交</w:t>
      </w:r>
      <w:r>
        <w:rPr>
          <w:rFonts w:hint="eastAsia" w:ascii="微软雅黑" w:hAnsi="微软雅黑" w:eastAsia="微软雅黑"/>
          <w:color w:val="000000" w:themeColor="text1"/>
          <w:szCs w:val="21"/>
          <w14:textFill>
            <w14:solidFill>
              <w14:schemeClr w14:val="tx1"/>
            </w14:solidFill>
          </w14:textFill>
        </w:rPr>
        <w:t>至重庆市渝北区杨柳北路1号院行政楼1001室，逾期送达或密封不符合规定的比选响应文件恕不接受。</w:t>
      </w:r>
    </w:p>
    <w:p>
      <w:pPr>
        <w:snapToGrid w:val="0"/>
        <w:spacing w:line="440" w:lineRule="exact"/>
        <w:ind w:firstLine="420" w:firstLineChars="200"/>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7. 比选的有关规定</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7.1单位负责人为同一人或者存在直接控股、管理关系的不同供应商，不得参加同一合同项的采购活动。</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7.2响应费用：无论评选结果如何，供应商参与本项目比选的所有费用均应由供应商自行承担。</w:t>
      </w:r>
    </w:p>
    <w:p>
      <w:pPr>
        <w:snapToGrid w:val="0"/>
        <w:spacing w:line="44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8.本项目不接受联合体参与响应。</w:t>
      </w:r>
    </w:p>
    <w:p>
      <w:pPr>
        <w:snapToGrid w:val="0"/>
        <w:spacing w:line="44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ascii="微软雅黑" w:hAnsi="微软雅黑" w:eastAsia="微软雅黑"/>
          <w:b/>
          <w:bCs/>
          <w:color w:val="000000" w:themeColor="text1"/>
          <w:szCs w:val="21"/>
          <w14:textFill>
            <w14:solidFill>
              <w14:schemeClr w14:val="tx1"/>
            </w14:solidFill>
          </w14:textFill>
        </w:rPr>
        <w:t>9</w:t>
      </w:r>
      <w:r>
        <w:rPr>
          <w:rFonts w:hint="eastAsia" w:ascii="微软雅黑" w:hAnsi="微软雅黑" w:eastAsia="微软雅黑"/>
          <w:b/>
          <w:bCs/>
          <w:color w:val="000000" w:themeColor="text1"/>
          <w:szCs w:val="21"/>
          <w14:textFill>
            <w14:solidFill>
              <w14:schemeClr w14:val="tx1"/>
            </w14:solidFill>
          </w14:textFill>
        </w:rPr>
        <w:t>.本项目不接受合同分包。</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bookmarkStart w:id="2" w:name="OLE_LINK2"/>
      <w:bookmarkStart w:id="3" w:name="OLE_LINK1"/>
      <w:r>
        <w:rPr>
          <w:rFonts w:hint="eastAsia" w:ascii="微软雅黑" w:hAnsi="微软雅黑" w:eastAsia="微软雅黑"/>
          <w:b/>
          <w:bCs/>
          <w:color w:val="000000" w:themeColor="text1"/>
          <w:szCs w:val="21"/>
          <w14:textFill>
            <w14:solidFill>
              <w14:schemeClr w14:val="tx1"/>
            </w14:solidFill>
          </w14:textFill>
        </w:rPr>
        <w:t>10.</w:t>
      </w:r>
      <w:r>
        <w:rPr>
          <w:rFonts w:hint="eastAsia" w:ascii="微软雅黑" w:hAnsi="微软雅黑" w:eastAsia="微软雅黑" w:cs="宋体"/>
          <w:b/>
          <w:bCs/>
          <w:color w:val="000000" w:themeColor="text1"/>
          <w:kern w:val="0"/>
          <w:szCs w:val="21"/>
          <w14:textFill>
            <w14:solidFill>
              <w14:schemeClr w14:val="tx1"/>
            </w14:solidFill>
          </w14:textFill>
        </w:rPr>
        <w:t>参照</w:t>
      </w:r>
      <w:r>
        <w:rPr>
          <w:rFonts w:ascii="微软雅黑" w:hAnsi="微软雅黑" w:eastAsia="微软雅黑"/>
          <w:b/>
          <w:bCs/>
          <w:color w:val="000000" w:themeColor="text1"/>
          <w:szCs w:val="21"/>
          <w14:textFill>
            <w14:solidFill>
              <w14:schemeClr w14:val="tx1"/>
            </w14:solidFill>
          </w14:textFill>
        </w:rPr>
        <w:t>《财政部关于在政府采购活动中查询及使用信用记录有关问题的通知》财库〔2016〕125号，</w:t>
      </w:r>
      <w:r>
        <w:rPr>
          <w:rFonts w:hint="eastAsia" w:ascii="微软雅黑" w:hAnsi="微软雅黑" w:eastAsia="微软雅黑"/>
          <w:b/>
          <w:bCs/>
          <w:color w:val="000000" w:themeColor="text1"/>
          <w:szCs w:val="21"/>
          <w14:textFill>
            <w14:solidFill>
              <w14:schemeClr w14:val="tx1"/>
            </w14:solidFill>
          </w14:textFill>
        </w:rPr>
        <w:t>供应商</w:t>
      </w:r>
      <w:r>
        <w:rPr>
          <w:rFonts w:ascii="微软雅黑" w:hAnsi="微软雅黑" w:eastAsia="微软雅黑"/>
          <w:b/>
          <w:bCs/>
          <w:color w:val="000000" w:themeColor="text1"/>
          <w:szCs w:val="21"/>
          <w14:textFill>
            <w14:solidFill>
              <w14:schemeClr w14:val="tx1"/>
            </w14:solidFill>
          </w14:textFill>
        </w:rPr>
        <w:t>列入失信被执行人、重大税收违法案件当事人名单、政府采购严重违法失信行为记录名单及其他不符合《中华人民共和国政府采购法》第二十二条规定条件的</w:t>
      </w:r>
      <w:bookmarkEnd w:id="2"/>
      <w:bookmarkEnd w:id="3"/>
      <w:r>
        <w:rPr>
          <w:rFonts w:hint="eastAsia" w:ascii="微软雅黑" w:hAnsi="微软雅黑" w:eastAsia="微软雅黑"/>
          <w:b/>
          <w:bCs/>
          <w:color w:val="000000" w:themeColor="text1"/>
          <w:szCs w:val="21"/>
          <w14:textFill>
            <w14:solidFill>
              <w14:schemeClr w14:val="tx1"/>
            </w14:solidFill>
          </w14:textFill>
        </w:rPr>
        <w:t>供应商</w:t>
      </w:r>
      <w:r>
        <w:rPr>
          <w:rFonts w:ascii="微软雅黑" w:hAnsi="微软雅黑" w:eastAsia="微软雅黑"/>
          <w:b/>
          <w:bCs/>
          <w:color w:val="000000" w:themeColor="text1"/>
          <w:szCs w:val="21"/>
          <w14:textFill>
            <w14:solidFill>
              <w14:schemeClr w14:val="tx1"/>
            </w14:solidFill>
          </w14:textFill>
        </w:rPr>
        <w:t>，将拒绝其参与</w:t>
      </w:r>
      <w:r>
        <w:rPr>
          <w:rFonts w:hint="eastAsia" w:ascii="微软雅黑" w:hAnsi="微软雅黑" w:eastAsia="微软雅黑"/>
          <w:b/>
          <w:bCs/>
          <w:color w:val="000000" w:themeColor="text1"/>
          <w:szCs w:val="21"/>
          <w14:textFill>
            <w14:solidFill>
              <w14:schemeClr w14:val="tx1"/>
            </w14:solidFill>
          </w14:textFill>
        </w:rPr>
        <w:t>本项目</w:t>
      </w:r>
      <w:r>
        <w:rPr>
          <w:rFonts w:ascii="微软雅黑" w:hAnsi="微软雅黑" w:eastAsia="微软雅黑"/>
          <w:b/>
          <w:bCs/>
          <w:color w:val="000000" w:themeColor="text1"/>
          <w:szCs w:val="21"/>
          <w14:textFill>
            <w14:solidFill>
              <w14:schemeClr w14:val="tx1"/>
            </w14:solidFill>
          </w14:textFill>
        </w:rPr>
        <w:t>采购活动。</w:t>
      </w:r>
    </w:p>
    <w:p>
      <w:pPr>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11.评分方法：</w:t>
      </w:r>
      <w:r>
        <w:rPr>
          <w:rFonts w:hint="eastAsia" w:ascii="微软雅黑" w:hAnsi="微软雅黑" w:eastAsia="微软雅黑"/>
          <w:color w:val="000000" w:themeColor="text1"/>
          <w:szCs w:val="21"/>
          <w14:textFill>
            <w14:solidFill>
              <w14:schemeClr w14:val="tx1"/>
            </w14:solidFill>
          </w14:textFill>
        </w:rPr>
        <w:t>最低评标价法</w:t>
      </w:r>
    </w:p>
    <w:p>
      <w:pPr>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12.采购人：重庆市计量质量检测研究院</w:t>
      </w:r>
    </w:p>
    <w:p>
      <w:pPr>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联系人：王老师</w:t>
      </w:r>
    </w:p>
    <w:p>
      <w:pPr>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电话：</w:t>
      </w:r>
      <w:r>
        <w:rPr>
          <w:rFonts w:ascii="微软雅黑" w:hAnsi="微软雅黑" w:eastAsia="微软雅黑"/>
          <w:color w:val="000000" w:themeColor="text1"/>
          <w:szCs w:val="21"/>
          <w14:textFill>
            <w14:solidFill>
              <w14:schemeClr w14:val="tx1"/>
            </w14:solidFill>
          </w14:textFill>
        </w:rPr>
        <w:t>023-</w:t>
      </w:r>
      <w:r>
        <w:rPr>
          <w:rFonts w:hint="eastAsia" w:ascii="微软雅黑" w:hAnsi="微软雅黑" w:eastAsia="微软雅黑"/>
          <w:color w:val="000000" w:themeColor="text1"/>
          <w:szCs w:val="21"/>
          <w14:textFill>
            <w14:solidFill>
              <w14:schemeClr w14:val="tx1"/>
            </w14:solidFill>
          </w14:textFill>
        </w:rPr>
        <w:t>89136386</w:t>
      </w:r>
    </w:p>
    <w:p>
      <w:pPr>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地址：重庆市渝北区杨柳北路1号，院行政楼1001室</w:t>
      </w:r>
    </w:p>
    <w:p>
      <w:pPr>
        <w:tabs>
          <w:tab w:val="left" w:pos="0"/>
          <w:tab w:val="left" w:pos="180"/>
          <w:tab w:val="left" w:pos="540"/>
        </w:tabs>
        <w:adjustRightInd w:val="0"/>
        <w:snapToGrid w:val="0"/>
        <w:spacing w:line="360" w:lineRule="auto"/>
        <w:ind w:left="420"/>
        <w:rPr>
          <w:rFonts w:asciiTheme="minorEastAsia" w:hAnsiTheme="minorEastAsia" w:eastAsiaTheme="minorEastAsia"/>
          <w:color w:val="000000" w:themeColor="text1"/>
          <w:sz w:val="24"/>
          <w:szCs w:val="21"/>
          <w14:textFill>
            <w14:solidFill>
              <w14:schemeClr w14:val="tx1"/>
            </w14:solidFill>
          </w14:textFill>
        </w:rPr>
      </w:pPr>
    </w:p>
    <w:p>
      <w:pPr>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br w:type="page"/>
      </w:r>
    </w:p>
    <w:p>
      <w:pPr>
        <w:pStyle w:val="2"/>
        <w:rPr>
          <w:rFonts w:ascii="微软雅黑" w:hAnsi="微软雅黑" w:eastAsia="微软雅黑"/>
          <w:bCs w:val="0"/>
          <w:color w:val="000000" w:themeColor="text1"/>
          <w:kern w:val="2"/>
          <w:szCs w:val="36"/>
          <w14:textFill>
            <w14:solidFill>
              <w14:schemeClr w14:val="tx1"/>
            </w14:solidFill>
          </w14:textFill>
        </w:rPr>
      </w:pPr>
      <w:bookmarkStart w:id="4" w:name="_Toc27859"/>
      <w:r>
        <w:rPr>
          <w:rFonts w:hint="eastAsia" w:ascii="微软雅黑" w:hAnsi="微软雅黑" w:eastAsia="微软雅黑"/>
          <w:bCs w:val="0"/>
          <w:color w:val="000000" w:themeColor="text1"/>
          <w:kern w:val="2"/>
          <w:szCs w:val="36"/>
          <w14:textFill>
            <w14:solidFill>
              <w14:schemeClr w14:val="tx1"/>
            </w14:solidFill>
          </w14:textFill>
        </w:rPr>
        <w:t>第二章比选供应商须知</w:t>
      </w:r>
      <w:bookmarkEnd w:id="4"/>
    </w:p>
    <w:tbl>
      <w:tblPr>
        <w:tblStyle w:val="39"/>
        <w:tblW w:w="8807"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8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blHeader/>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序号</w:t>
            </w:r>
          </w:p>
        </w:tc>
        <w:tc>
          <w:tcPr>
            <w:tcW w:w="8093"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具体信息或数据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1</w:t>
            </w:r>
          </w:p>
        </w:tc>
        <w:tc>
          <w:tcPr>
            <w:tcW w:w="8093" w:type="dxa"/>
            <w:tcMar>
              <w:top w:w="57" w:type="dxa"/>
              <w:bottom w:w="57" w:type="dxa"/>
            </w:tcMar>
            <w:vAlign w:val="center"/>
          </w:tcPr>
          <w:p>
            <w:pPr>
              <w:pStyle w:val="22"/>
              <w:adjustRightInd w:val="0"/>
              <w:snapToGrid w:val="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项目名称：院本部部分实验室改造项目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2</w:t>
            </w:r>
          </w:p>
        </w:tc>
        <w:tc>
          <w:tcPr>
            <w:tcW w:w="8093" w:type="dxa"/>
            <w:tcMar>
              <w:top w:w="57" w:type="dxa"/>
              <w:bottom w:w="57" w:type="dxa"/>
            </w:tcMar>
            <w:vAlign w:val="center"/>
          </w:tcPr>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采购人：重庆市计量质量检测研究院</w:t>
            </w:r>
          </w:p>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采购人地址：重庆市渝北区杨柳北路1号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3</w:t>
            </w:r>
          </w:p>
        </w:tc>
        <w:tc>
          <w:tcPr>
            <w:tcW w:w="8093" w:type="dxa"/>
            <w:tcMar>
              <w:top w:w="57" w:type="dxa"/>
              <w:bottom w:w="57" w:type="dxa"/>
            </w:tcMar>
            <w:vAlign w:val="center"/>
          </w:tcPr>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施工时间：合同签订之日至施工结束日截止</w:t>
            </w:r>
            <w:r>
              <w:rPr>
                <w:rFonts w:hint="eastAsia" w:ascii="微软雅黑" w:hAnsi="微软雅黑" w:eastAsia="微软雅黑"/>
                <w:color w:val="000000" w:themeColor="text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9"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4</w:t>
            </w:r>
          </w:p>
        </w:tc>
        <w:tc>
          <w:tcPr>
            <w:tcW w:w="8093" w:type="dxa"/>
            <w:tcMar>
              <w:top w:w="57" w:type="dxa"/>
              <w:bottom w:w="57" w:type="dxa"/>
            </w:tcMar>
            <w:vAlign w:val="center"/>
          </w:tcPr>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合格比选供应商必须同时满足下述资格条件：</w:t>
            </w:r>
          </w:p>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（1）满足《中华人民共和国政府采购法》第二十二条要求，包括：</w:t>
            </w:r>
          </w:p>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　　具有独立承担民事责任的能力；</w:t>
            </w:r>
          </w:p>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　　具有履行合同所必须的设备和专业技术能力；</w:t>
            </w:r>
          </w:p>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　　有依法缴纳税收和社会保障资金的良好记录；</w:t>
            </w:r>
          </w:p>
          <w:p>
            <w:pPr>
              <w:pStyle w:val="22"/>
              <w:adjustRightInd w:val="0"/>
              <w:snapToGrid w:val="0"/>
              <w:ind w:firstLine="420" w:firstLineChars="20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参加此采购活动前三年内，在经营活动中没有重大违法记录；</w:t>
            </w:r>
          </w:p>
          <w:p>
            <w:pPr>
              <w:pStyle w:val="22"/>
              <w:adjustRightInd w:val="0"/>
              <w:snapToGrid w:val="0"/>
              <w:ind w:firstLine="420" w:firstLineChars="20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符合法律、法规规定的其他条件。</w:t>
            </w:r>
          </w:p>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（2）本项目的特定资格要求：</w:t>
            </w:r>
          </w:p>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供应商须具有建设行政主管部门颁发有效的建筑工程施工总承包叁级及以上或建筑装修装饰工程专业承包贰级及以上资质。供应商须具备建设行政主管部门颁发的有效的安全生产许可证。（提供证书复印件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5</w:t>
            </w:r>
          </w:p>
        </w:tc>
        <w:tc>
          <w:tcPr>
            <w:tcW w:w="8093" w:type="dxa"/>
            <w:tcMar>
              <w:top w:w="57" w:type="dxa"/>
              <w:bottom w:w="57" w:type="dxa"/>
            </w:tcMar>
            <w:vAlign w:val="center"/>
          </w:tcPr>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现场考察：由供应商自行考察并</w:t>
            </w:r>
            <w:r>
              <w:rPr>
                <w:rFonts w:ascii="微软雅黑" w:hAnsi="微软雅黑" w:eastAsia="微软雅黑"/>
                <w:color w:val="000000" w:themeColor="text1"/>
                <w:sz w:val="21"/>
                <w:szCs w:val="21"/>
                <w14:textFill>
                  <w14:solidFill>
                    <w14:schemeClr w14:val="tx1"/>
                  </w14:solidFill>
                </w14:textFill>
              </w:rPr>
              <w:t>自行负责在踏勘现场中所发生的人员伤亡和财产损失</w:t>
            </w:r>
            <w:r>
              <w:rPr>
                <w:rFonts w:hint="eastAsia" w:ascii="微软雅黑" w:hAnsi="微软雅黑" w:eastAsia="微软雅黑"/>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6</w:t>
            </w:r>
          </w:p>
        </w:tc>
        <w:tc>
          <w:tcPr>
            <w:tcW w:w="8093" w:type="dxa"/>
            <w:tcMar>
              <w:top w:w="57" w:type="dxa"/>
              <w:bottom w:w="57" w:type="dxa"/>
            </w:tcMar>
            <w:vAlign w:val="center"/>
          </w:tcPr>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比选有效期：自比选响应文件递交截止之日起算90日历日。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7</w:t>
            </w:r>
          </w:p>
        </w:tc>
        <w:tc>
          <w:tcPr>
            <w:tcW w:w="8093" w:type="dxa"/>
            <w:tcMar>
              <w:top w:w="57" w:type="dxa"/>
              <w:bottom w:w="57" w:type="dxa"/>
            </w:tcMar>
            <w:vAlign w:val="center"/>
          </w:tcPr>
          <w:p>
            <w:pPr>
              <w:autoSpaceDE w:val="0"/>
              <w:autoSpaceDN w:val="0"/>
              <w:adjustRightInd w:val="0"/>
              <w:snapToGrid w:val="0"/>
              <w:spacing w:after="12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比选保证金：本项目不涉及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8</w:t>
            </w:r>
          </w:p>
        </w:tc>
        <w:tc>
          <w:tcPr>
            <w:tcW w:w="8093" w:type="dxa"/>
            <w:tcMar>
              <w:top w:w="57" w:type="dxa"/>
              <w:bottom w:w="57" w:type="dxa"/>
            </w:tcMar>
            <w:vAlign w:val="center"/>
          </w:tcPr>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比选响应文件的份数：正本1份，副本1份。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9</w:t>
            </w:r>
          </w:p>
        </w:tc>
        <w:tc>
          <w:tcPr>
            <w:tcW w:w="8093" w:type="dxa"/>
            <w:tcMar>
              <w:top w:w="57" w:type="dxa"/>
              <w:bottom w:w="57" w:type="dxa"/>
            </w:tcMar>
            <w:vAlign w:val="center"/>
          </w:tcPr>
          <w:p>
            <w:pPr>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比选响应文件递交截止时间：20</w:t>
            </w:r>
            <w:r>
              <w:rPr>
                <w:rFonts w:ascii="微软雅黑" w:hAnsi="微软雅黑" w:eastAsia="微软雅黑"/>
                <w:color w:val="000000" w:themeColor="text1"/>
                <w:szCs w:val="21"/>
                <w14:textFill>
                  <w14:solidFill>
                    <w14:schemeClr w14:val="tx1"/>
                  </w14:solidFill>
                </w14:textFill>
              </w:rPr>
              <w:t>2</w:t>
            </w:r>
            <w:r>
              <w:rPr>
                <w:rFonts w:hint="eastAsia" w:ascii="微软雅黑" w:hAnsi="微软雅黑" w:eastAsia="微软雅黑"/>
                <w:color w:val="000000" w:themeColor="text1"/>
                <w:szCs w:val="21"/>
                <w14:textFill>
                  <w14:solidFill>
                    <w14:schemeClr w14:val="tx1"/>
                  </w14:solidFill>
                </w14:textFill>
              </w:rPr>
              <w:t>6年</w:t>
            </w:r>
            <w:r>
              <w:rPr>
                <w:rFonts w:hint="eastAsia" w:ascii="微软雅黑" w:hAnsi="微软雅黑" w:eastAsia="微软雅黑"/>
                <w:color w:val="000000" w:themeColor="text1"/>
                <w:szCs w:val="21"/>
                <w:lang w:val="en-US" w:eastAsia="zh-CN"/>
                <w14:textFill>
                  <w14:solidFill>
                    <w14:schemeClr w14:val="tx1"/>
                  </w14:solidFill>
                </w14:textFill>
              </w:rPr>
              <w:t>8</w:t>
            </w:r>
            <w:r>
              <w:rPr>
                <w:rFonts w:hint="eastAsia" w:ascii="微软雅黑" w:hAnsi="微软雅黑" w:eastAsia="微软雅黑"/>
                <w:color w:val="000000" w:themeColor="text1"/>
                <w:szCs w:val="21"/>
                <w14:textFill>
                  <w14:solidFill>
                    <w14:schemeClr w14:val="tx1"/>
                  </w14:solidFill>
                </w14:textFill>
              </w:rPr>
              <w:t>月</w:t>
            </w:r>
            <w:r>
              <w:rPr>
                <w:rFonts w:hint="eastAsia" w:ascii="微软雅黑" w:hAnsi="微软雅黑" w:eastAsia="微软雅黑"/>
                <w:color w:val="000000" w:themeColor="text1"/>
                <w:szCs w:val="21"/>
                <w:lang w:val="en-US" w:eastAsia="zh-CN"/>
                <w14:textFill>
                  <w14:solidFill>
                    <w14:schemeClr w14:val="tx1"/>
                  </w14:solidFill>
                </w14:textFill>
              </w:rPr>
              <w:t>3</w:t>
            </w:r>
            <w:r>
              <w:rPr>
                <w:rFonts w:hint="eastAsia" w:ascii="微软雅黑" w:hAnsi="微软雅黑" w:eastAsia="微软雅黑"/>
                <w:color w:val="000000" w:themeColor="text1"/>
                <w:szCs w:val="21"/>
                <w14:textFill>
                  <w14:solidFill>
                    <w14:schemeClr w14:val="tx1"/>
                  </w14:solidFill>
                </w14:textFill>
              </w:rPr>
              <w:t>日</w:t>
            </w:r>
            <w:r>
              <w:rPr>
                <w:rFonts w:hint="eastAsia" w:ascii="微软雅黑" w:hAnsi="微软雅黑" w:eastAsia="微软雅黑"/>
                <w:color w:val="000000" w:themeColor="text1"/>
                <w:szCs w:val="21"/>
                <w:lang w:val="en-US" w:eastAsia="zh-CN"/>
                <w14:textFill>
                  <w14:solidFill>
                    <w14:schemeClr w14:val="tx1"/>
                  </w14:solidFill>
                </w14:textFill>
              </w:rPr>
              <w:t>14</w:t>
            </w:r>
            <w:r>
              <w:rPr>
                <w:rFonts w:hint="eastAsia" w:ascii="微软雅黑" w:hAnsi="微软雅黑" w:eastAsia="微软雅黑"/>
                <w:color w:val="000000" w:themeColor="text1"/>
                <w:szCs w:val="21"/>
                <w14:textFill>
                  <w14:solidFill>
                    <w14:schemeClr w14:val="tx1"/>
                  </w14:solidFill>
                </w14:textFill>
              </w:rPr>
              <w:t>时（北京时间）</w:t>
            </w:r>
          </w:p>
          <w:p>
            <w:pPr>
              <w:snapToGrid w:val="0"/>
              <w:spacing w:line="48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比选响应文件递交地点：重庆市渝北区杨柳北路1号院行政楼1001室</w:t>
            </w:r>
          </w:p>
          <w:p>
            <w:pPr>
              <w:adjustRightInd w:val="0"/>
              <w:snapToGrid w:val="0"/>
              <w:rPr>
                <w:rFonts w:ascii="微软雅黑" w:hAnsi="微软雅黑" w:eastAsia="微软雅黑"/>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10</w:t>
            </w:r>
          </w:p>
        </w:tc>
        <w:tc>
          <w:tcPr>
            <w:tcW w:w="8093" w:type="dxa"/>
            <w:tcMar>
              <w:top w:w="57" w:type="dxa"/>
              <w:bottom w:w="57" w:type="dxa"/>
            </w:tcMar>
            <w:vAlign w:val="center"/>
          </w:tcPr>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评审办法：最低评标价法。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right"/>
        </w:trPr>
        <w:tc>
          <w:tcPr>
            <w:tcW w:w="714" w:type="dxa"/>
            <w:tcMar>
              <w:top w:w="57" w:type="dxa"/>
              <w:bottom w:w="57" w:type="dxa"/>
            </w:tcMar>
            <w:vAlign w:val="center"/>
          </w:tcPr>
          <w:p>
            <w:pPr>
              <w:pStyle w:val="22"/>
              <w:adjustRightInd w:val="0"/>
              <w:snapToGrid w:val="0"/>
              <w:jc w:val="center"/>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11</w:t>
            </w:r>
          </w:p>
        </w:tc>
        <w:tc>
          <w:tcPr>
            <w:tcW w:w="8093" w:type="dxa"/>
            <w:tcMar>
              <w:top w:w="57" w:type="dxa"/>
              <w:bottom w:w="57" w:type="dxa"/>
            </w:tcMar>
            <w:vAlign w:val="center"/>
          </w:tcPr>
          <w:p>
            <w:pPr>
              <w:pStyle w:val="22"/>
              <w:adjustRightInd w:val="0"/>
              <w:snapToGrid w:val="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由采购人支</w:t>
            </w:r>
            <w:r>
              <w:rPr>
                <w:rFonts w:ascii="微软雅黑" w:hAnsi="微软雅黑" w:eastAsia="微软雅黑"/>
                <w:color w:val="000000" w:themeColor="text1"/>
                <w:sz w:val="21"/>
                <w:szCs w:val="21"/>
                <w14:textFill>
                  <w14:solidFill>
                    <w14:schemeClr w14:val="tx1"/>
                  </w14:solidFill>
                </w14:textFill>
              </w:rPr>
              <w:t>付该项目</w:t>
            </w:r>
            <w:r>
              <w:rPr>
                <w:rFonts w:hint="eastAsia" w:ascii="微软雅黑" w:hAnsi="微软雅黑" w:eastAsia="微软雅黑"/>
                <w:color w:val="000000" w:themeColor="text1"/>
                <w:sz w:val="21"/>
                <w:szCs w:val="21"/>
                <w14:textFill>
                  <w14:solidFill>
                    <w14:schemeClr w14:val="tx1"/>
                  </w14:solidFill>
                </w14:textFill>
              </w:rPr>
              <w:t>合同款项，付款方式如下：</w:t>
            </w:r>
          </w:p>
          <w:p>
            <w:pPr>
              <w:pStyle w:val="22"/>
              <w:adjustRightInd w:val="0"/>
              <w:snapToGrid w:val="0"/>
              <w:ind w:firstLine="420" w:firstLineChars="20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工程完工验收合格后10日内，中标方向采购方提供竣工验收资料、增值税专用发票质保金缴纳凭证等资料，向采购方申请付款。采购方对中标方提交的付款资料审核通过后，在30个工作日内以转账方式向中标方支付合同全款。</w:t>
            </w:r>
          </w:p>
        </w:tc>
      </w:tr>
    </w:tbl>
    <w:p>
      <w:pPr>
        <w:rPr>
          <w:rFonts w:ascii="微软雅黑" w:hAnsi="微软雅黑" w:eastAsia="微软雅黑"/>
          <w:b/>
          <w:bCs/>
          <w:color w:val="000000" w:themeColor="text1"/>
          <w:sz w:val="28"/>
          <w:szCs w:val="28"/>
          <w14:textFill>
            <w14:solidFill>
              <w14:schemeClr w14:val="tx1"/>
            </w14:solidFill>
          </w14:textFill>
        </w:rPr>
      </w:pPr>
      <w:bookmarkStart w:id="5" w:name="_Toc10213427"/>
      <w:bookmarkStart w:id="6" w:name="_Toc68963461"/>
      <w:r>
        <w:rPr>
          <w:rFonts w:ascii="微软雅黑" w:hAnsi="微软雅黑" w:eastAsia="微软雅黑"/>
          <w:color w:val="000000" w:themeColor="text1"/>
          <w:sz w:val="28"/>
          <w:szCs w:val="28"/>
          <w14:textFill>
            <w14:solidFill>
              <w14:schemeClr w14:val="tx1"/>
            </w14:solidFill>
          </w14:textFill>
        </w:rPr>
        <w:br w:type="page"/>
      </w:r>
    </w:p>
    <w:p>
      <w:pPr>
        <w:pStyle w:val="3"/>
        <w:spacing w:line="480" w:lineRule="auto"/>
        <w:rPr>
          <w:rFonts w:ascii="微软雅黑" w:hAnsi="微软雅黑" w:eastAsia="微软雅黑"/>
          <w:color w:val="000000" w:themeColor="text1"/>
          <w:sz w:val="28"/>
          <w:szCs w:val="28"/>
          <w14:textFill>
            <w14:solidFill>
              <w14:schemeClr w14:val="tx1"/>
            </w14:solidFill>
          </w14:textFill>
        </w:rPr>
      </w:pPr>
      <w:bookmarkStart w:id="7" w:name="_Toc26758"/>
      <w:r>
        <w:rPr>
          <w:rFonts w:hint="eastAsia" w:ascii="微软雅黑" w:hAnsi="微软雅黑" w:eastAsia="微软雅黑"/>
          <w:color w:val="000000" w:themeColor="text1"/>
          <w:sz w:val="28"/>
          <w:szCs w:val="28"/>
          <w14:textFill>
            <w14:solidFill>
              <w14:schemeClr w14:val="tx1"/>
            </w14:solidFill>
          </w14:textFill>
        </w:rPr>
        <w:t>一、总则</w:t>
      </w:r>
      <w:bookmarkEnd w:id="5"/>
      <w:bookmarkEnd w:id="6"/>
      <w:bookmarkEnd w:id="7"/>
    </w:p>
    <w:p>
      <w:pPr>
        <w:adjustRightInd w:val="0"/>
        <w:snapToGrid w:val="0"/>
        <w:spacing w:line="480" w:lineRule="exact"/>
        <w:ind w:left="425" w:hanging="425"/>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1.概述</w:t>
      </w:r>
    </w:p>
    <w:p>
      <w:pPr>
        <w:numPr>
          <w:ilvl w:val="1"/>
          <w:numId w:val="0"/>
        </w:numPr>
        <w:adjustRightInd w:val="0"/>
        <w:snapToGrid w:val="0"/>
        <w:spacing w:line="480" w:lineRule="exact"/>
        <w:ind w:left="567" w:leftChars="200" w:hanging="147" w:hangingChars="7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1.1</w:t>
      </w:r>
      <w:r>
        <w:rPr>
          <w:rFonts w:hint="eastAsia" w:ascii="微软雅黑" w:hAnsi="微软雅黑" w:eastAsia="微软雅黑"/>
          <w:color w:val="000000" w:themeColor="text1"/>
          <w:szCs w:val="21"/>
          <w14:textFill>
            <w14:solidFill>
              <w14:schemeClr w14:val="tx1"/>
            </w14:solidFill>
          </w14:textFill>
        </w:rPr>
        <w:t>适用范围：本比选文件仅适用于第一章“比选邀请书”中所述项目。</w:t>
      </w:r>
    </w:p>
    <w:p>
      <w:pPr>
        <w:numPr>
          <w:ilvl w:val="1"/>
          <w:numId w:val="0"/>
        </w:numPr>
        <w:adjustRightInd w:val="0"/>
        <w:snapToGrid w:val="0"/>
        <w:spacing w:line="480" w:lineRule="exact"/>
        <w:ind w:left="567" w:leftChars="200" w:hanging="147" w:hangingChars="7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1.2</w:t>
      </w:r>
      <w:r>
        <w:rPr>
          <w:rFonts w:hint="eastAsia" w:ascii="微软雅黑" w:hAnsi="微软雅黑" w:eastAsia="微软雅黑"/>
          <w:color w:val="000000" w:themeColor="text1"/>
          <w:szCs w:val="21"/>
          <w14:textFill>
            <w14:solidFill>
              <w14:schemeClr w14:val="tx1"/>
            </w14:solidFill>
          </w14:textFill>
        </w:rPr>
        <w:t>定义：</w:t>
      </w:r>
    </w:p>
    <w:p>
      <w:pPr>
        <w:spacing w:line="56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1.2.1 本项目：系指“院本部部分实验室改造项目”。</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1.2.2 采购人：系指重庆市计量质量检测研究院。</w:t>
      </w:r>
    </w:p>
    <w:p>
      <w:pPr>
        <w:adjustRightInd w:val="0"/>
        <w:snapToGrid w:val="0"/>
        <w:spacing w:line="480" w:lineRule="exact"/>
        <w:ind w:left="422" w:leftChars="200" w:hanging="2" w:hangingChars="1"/>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2.比选范围</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Cs/>
          <w:color w:val="000000" w:themeColor="text1"/>
          <w:szCs w:val="21"/>
          <w14:textFill>
            <w14:solidFill>
              <w14:schemeClr w14:val="tx1"/>
            </w14:solidFill>
          </w14:textFill>
        </w:rPr>
        <w:t>2.1</w:t>
      </w:r>
      <w:r>
        <w:rPr>
          <w:rFonts w:hint="eastAsia" w:ascii="微软雅黑" w:hAnsi="微软雅黑" w:eastAsia="微软雅黑"/>
          <w:color w:val="000000" w:themeColor="text1"/>
          <w:szCs w:val="21"/>
          <w14:textFill>
            <w14:solidFill>
              <w14:schemeClr w14:val="tx1"/>
            </w14:solidFill>
          </w14:textFill>
        </w:rPr>
        <w:t>详见第四章项目</w:t>
      </w:r>
      <w:r>
        <w:rPr>
          <w:rFonts w:hint="eastAsia" w:ascii="微软雅黑" w:hAnsi="微软雅黑" w:eastAsia="微软雅黑"/>
          <w:bCs/>
          <w:color w:val="000000" w:themeColor="text1"/>
          <w:kern w:val="44"/>
          <w:szCs w:val="21"/>
          <w14:textFill>
            <w14:solidFill>
              <w14:schemeClr w14:val="tx1"/>
            </w14:solidFill>
          </w14:textFill>
        </w:rPr>
        <w:t>需求及说明</w:t>
      </w:r>
    </w:p>
    <w:p>
      <w:pPr>
        <w:adjustRightInd w:val="0"/>
        <w:snapToGrid w:val="0"/>
        <w:spacing w:line="480" w:lineRule="exact"/>
        <w:ind w:left="422" w:leftChars="200" w:hanging="2" w:hangingChars="1"/>
        <w:rPr>
          <w:rFonts w:ascii="微软雅黑" w:hAnsi="微软雅黑" w:eastAsia="微软雅黑"/>
          <w:b/>
          <w:bCs/>
          <w:color w:val="000000" w:themeColor="text1"/>
          <w:szCs w:val="21"/>
          <w14:textFill>
            <w14:solidFill>
              <w14:schemeClr w14:val="tx1"/>
            </w14:solidFill>
          </w14:textFill>
        </w:rPr>
      </w:pPr>
      <w:bookmarkStart w:id="8" w:name="_Toc23613344"/>
      <w:r>
        <w:rPr>
          <w:rFonts w:hint="eastAsia" w:ascii="微软雅黑" w:hAnsi="微软雅黑" w:eastAsia="微软雅黑"/>
          <w:b/>
          <w:bCs/>
          <w:color w:val="000000" w:themeColor="text1"/>
          <w:szCs w:val="21"/>
          <w14:textFill>
            <w14:solidFill>
              <w14:schemeClr w14:val="tx1"/>
            </w14:solidFill>
          </w14:textFill>
        </w:rPr>
        <w:t>3.比选供应商的资格</w:t>
      </w:r>
      <w:bookmarkEnd w:id="8"/>
    </w:p>
    <w:p>
      <w:pPr>
        <w:adjustRightInd w:val="0"/>
        <w:snapToGrid w:val="0"/>
        <w:spacing w:line="480" w:lineRule="exact"/>
        <w:ind w:left="418" w:leftChars="199" w:firstLine="50" w:firstLineChars="24"/>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3.1参加本次施工项目比选的比选供应商必须满足本须知前附表中第</w:t>
      </w:r>
      <w:r>
        <w:rPr>
          <w:rFonts w:hint="eastAsia" w:ascii="微软雅黑" w:hAnsi="微软雅黑" w:eastAsia="微软雅黑"/>
          <w:b/>
          <w:color w:val="000000" w:themeColor="text1"/>
          <w:szCs w:val="21"/>
          <w:u w:val="single"/>
          <w14:textFill>
            <w14:solidFill>
              <w14:schemeClr w14:val="tx1"/>
            </w14:solidFill>
          </w14:textFill>
        </w:rPr>
        <w:t>4</w:t>
      </w:r>
      <w:r>
        <w:rPr>
          <w:rFonts w:hint="eastAsia" w:ascii="微软雅黑" w:hAnsi="微软雅黑" w:eastAsia="微软雅黑"/>
          <w:color w:val="000000" w:themeColor="text1"/>
          <w:szCs w:val="21"/>
          <w14:textFill>
            <w14:solidFill>
              <w14:schemeClr w14:val="tx1"/>
            </w14:solidFill>
          </w14:textFill>
        </w:rPr>
        <w:t>项的资格要求。</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3.</w:t>
      </w:r>
      <w:r>
        <w:rPr>
          <w:rFonts w:ascii="微软雅黑" w:hAnsi="微软雅黑" w:eastAsia="微软雅黑"/>
          <w:color w:val="000000" w:themeColor="text1"/>
          <w:szCs w:val="21"/>
          <w14:textFill>
            <w14:solidFill>
              <w14:schemeClr w14:val="tx1"/>
            </w14:solidFill>
          </w14:textFill>
        </w:rPr>
        <w:t>2</w:t>
      </w:r>
      <w:r>
        <w:rPr>
          <w:rFonts w:hint="eastAsia" w:ascii="微软雅黑" w:hAnsi="微软雅黑" w:eastAsia="微软雅黑"/>
          <w:color w:val="000000" w:themeColor="text1"/>
          <w:szCs w:val="21"/>
          <w14:textFill>
            <w14:solidFill>
              <w14:schemeClr w14:val="tx1"/>
            </w14:solidFill>
          </w14:textFill>
        </w:rPr>
        <w:t>比选供应商应遵守国家法律法规及采购人相关规定。</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3.</w:t>
      </w:r>
      <w:r>
        <w:rPr>
          <w:rFonts w:ascii="微软雅黑" w:hAnsi="微软雅黑" w:eastAsia="微软雅黑"/>
          <w:color w:val="000000" w:themeColor="text1"/>
          <w:szCs w:val="21"/>
          <w14:textFill>
            <w14:solidFill>
              <w14:schemeClr w14:val="tx1"/>
            </w14:solidFill>
          </w14:textFill>
        </w:rPr>
        <w:t>3</w:t>
      </w:r>
      <w:r>
        <w:rPr>
          <w:rFonts w:hint="eastAsia" w:ascii="微软雅黑" w:hAnsi="微软雅黑" w:eastAsia="微软雅黑"/>
          <w:color w:val="000000" w:themeColor="text1"/>
          <w:szCs w:val="21"/>
          <w14:textFill>
            <w14:solidFill>
              <w14:schemeClr w14:val="tx1"/>
            </w14:solidFill>
          </w14:textFill>
        </w:rPr>
        <w:t>本项目比选不接受联合体形式的比选。</w:t>
      </w:r>
    </w:p>
    <w:p>
      <w:pPr>
        <w:adjustRightInd w:val="0"/>
        <w:snapToGrid w:val="0"/>
        <w:spacing w:line="480" w:lineRule="exact"/>
        <w:ind w:left="422" w:leftChars="200" w:hanging="2" w:hangingChars="1"/>
        <w:rPr>
          <w:rFonts w:ascii="微软雅黑" w:hAnsi="微软雅黑" w:eastAsia="微软雅黑"/>
          <w:b/>
          <w:bCs/>
          <w:color w:val="000000" w:themeColor="text1"/>
          <w:szCs w:val="21"/>
          <w14:textFill>
            <w14:solidFill>
              <w14:schemeClr w14:val="tx1"/>
            </w14:solidFill>
          </w14:textFill>
        </w:rPr>
      </w:pPr>
      <w:bookmarkStart w:id="9" w:name="_Toc23613345"/>
      <w:r>
        <w:rPr>
          <w:rFonts w:hint="eastAsia" w:ascii="微软雅黑" w:hAnsi="微软雅黑" w:eastAsia="微软雅黑"/>
          <w:b/>
          <w:bCs/>
          <w:color w:val="000000" w:themeColor="text1"/>
          <w:szCs w:val="21"/>
          <w14:textFill>
            <w14:solidFill>
              <w14:schemeClr w14:val="tx1"/>
            </w14:solidFill>
          </w14:textFill>
        </w:rPr>
        <w:t>4.比选费用</w:t>
      </w:r>
      <w:bookmarkEnd w:id="9"/>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4.1 比选供应商在比选过程中发生的一切费用，无论成交与否，均由比选供应商自负。</w:t>
      </w:r>
    </w:p>
    <w:p>
      <w:pPr>
        <w:adjustRightInd w:val="0"/>
        <w:snapToGrid w:val="0"/>
        <w:spacing w:line="480" w:lineRule="exact"/>
        <w:ind w:left="422" w:leftChars="200" w:hanging="2" w:hangingChars="1"/>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5.现场考察</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5.1 比选供应商应按照可提前联系比选方确定时间和地点，了解项目情况，自行负责、获得有关编制比选响应文件和签订施工合同所必需的一切资料。</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5.2 比选供应商考察现场以后，将被认为已经对项目的总体情况、施工工作难度、条件及当地的有关情况获得了解，并认为比选供应商已充分了解了自己成交后有可能承担的风险、责任和义务，比选供应商未按时派人参加现场考察的，视为自动放弃该权利，在比选、合同签订及履行时不得以不熟悉项目情况为由提出相关要求。</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5.3 考察现场过程中，比选供应商及其代表可能会对其自身或对第三方造成的人身伤害、财产损失或损坏，以及其他任何原因造成的损失、损坏或费用，必须由比选供应商及其代表自行承担。</w:t>
      </w:r>
    </w:p>
    <w:p>
      <w:pPr>
        <w:adjustRightInd w:val="0"/>
        <w:snapToGrid w:val="0"/>
        <w:spacing w:line="480" w:lineRule="exact"/>
        <w:ind w:left="418" w:leftChars="199" w:firstLine="50" w:firstLineChars="24"/>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5.4 在现场考察过程中，比选供应商只许委派1-2名代表参加，并严格遵守比选方提出的纪律要求。</w:t>
      </w:r>
    </w:p>
    <w:p>
      <w:pPr>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br w:type="page"/>
      </w:r>
    </w:p>
    <w:p>
      <w:pPr>
        <w:pStyle w:val="37"/>
        <w:ind w:firstLine="0" w:firstLineChars="0"/>
        <w:rPr>
          <w:rFonts w:ascii="微软雅黑" w:hAnsi="微软雅黑" w:eastAsia="微软雅黑"/>
          <w:color w:val="000000" w:themeColor="text1"/>
          <w:szCs w:val="21"/>
          <w14:textFill>
            <w14:solidFill>
              <w14:schemeClr w14:val="tx1"/>
            </w14:solidFill>
          </w14:textFill>
        </w:rPr>
      </w:pPr>
    </w:p>
    <w:p>
      <w:pPr>
        <w:pStyle w:val="3"/>
        <w:spacing w:line="480" w:lineRule="auto"/>
        <w:rPr>
          <w:rFonts w:ascii="微软雅黑" w:hAnsi="微软雅黑" w:eastAsia="微软雅黑"/>
          <w:color w:val="000000" w:themeColor="text1"/>
          <w:sz w:val="28"/>
          <w:szCs w:val="28"/>
          <w14:textFill>
            <w14:solidFill>
              <w14:schemeClr w14:val="tx1"/>
            </w14:solidFill>
          </w14:textFill>
        </w:rPr>
      </w:pPr>
      <w:bookmarkStart w:id="10" w:name="_Toc24455231"/>
      <w:bookmarkStart w:id="11" w:name="_Toc68963462"/>
      <w:bookmarkStart w:id="12" w:name="_Toc31251"/>
      <w:bookmarkStart w:id="13" w:name="_Toc10213428"/>
      <w:bookmarkStart w:id="14" w:name="_Toc33340836"/>
      <w:bookmarkStart w:id="15" w:name="_Toc23613348"/>
      <w:bookmarkStart w:id="16" w:name="_Toc24083811"/>
      <w:r>
        <w:rPr>
          <w:rFonts w:hint="eastAsia" w:ascii="微软雅黑" w:hAnsi="微软雅黑" w:eastAsia="微软雅黑"/>
          <w:color w:val="000000" w:themeColor="text1"/>
          <w:sz w:val="28"/>
          <w:szCs w:val="28"/>
          <w14:textFill>
            <w14:solidFill>
              <w14:schemeClr w14:val="tx1"/>
            </w14:solidFill>
          </w14:textFill>
        </w:rPr>
        <w:t>二、比选文件</w:t>
      </w:r>
      <w:bookmarkEnd w:id="10"/>
      <w:bookmarkEnd w:id="11"/>
      <w:bookmarkEnd w:id="12"/>
      <w:bookmarkEnd w:id="13"/>
      <w:bookmarkEnd w:id="14"/>
      <w:bookmarkEnd w:id="15"/>
      <w:bookmarkEnd w:id="16"/>
    </w:p>
    <w:p>
      <w:pPr>
        <w:adjustRightInd w:val="0"/>
        <w:snapToGrid w:val="0"/>
        <w:spacing w:line="480" w:lineRule="exact"/>
        <w:ind w:left="422" w:leftChars="200" w:hanging="2" w:hangingChars="1"/>
        <w:rPr>
          <w:rFonts w:ascii="微软雅黑" w:hAnsi="微软雅黑" w:eastAsia="微软雅黑"/>
          <w:b/>
          <w:bCs/>
          <w:color w:val="000000" w:themeColor="text1"/>
          <w:szCs w:val="21"/>
          <w14:textFill>
            <w14:solidFill>
              <w14:schemeClr w14:val="tx1"/>
            </w14:solidFill>
          </w14:textFill>
        </w:rPr>
      </w:pPr>
      <w:bookmarkStart w:id="17" w:name="_Toc23613349"/>
      <w:r>
        <w:rPr>
          <w:rFonts w:hint="eastAsia" w:ascii="微软雅黑" w:hAnsi="微软雅黑" w:eastAsia="微软雅黑"/>
          <w:b/>
          <w:bCs/>
          <w:color w:val="000000" w:themeColor="text1"/>
          <w:szCs w:val="21"/>
          <w14:textFill>
            <w14:solidFill>
              <w14:schemeClr w14:val="tx1"/>
            </w14:solidFill>
          </w14:textFill>
        </w:rPr>
        <w:t>6.比选文件的内容</w:t>
      </w:r>
      <w:bookmarkEnd w:id="17"/>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6.1比选文件除本款下述内容外，还包括所有按照本须知第</w:t>
      </w:r>
      <w:r>
        <w:rPr>
          <w:rFonts w:hint="eastAsia" w:ascii="微软雅黑" w:hAnsi="微软雅黑" w:eastAsia="微软雅黑"/>
          <w:b/>
          <w:color w:val="000000" w:themeColor="text1"/>
          <w:szCs w:val="21"/>
          <w:u w:val="single"/>
          <w14:textFill>
            <w14:solidFill>
              <w14:schemeClr w14:val="tx1"/>
            </w14:solidFill>
          </w14:textFill>
        </w:rPr>
        <w:t>7.1</w:t>
      </w:r>
      <w:r>
        <w:rPr>
          <w:rFonts w:hint="eastAsia" w:ascii="微软雅黑" w:hAnsi="微软雅黑" w:eastAsia="微软雅黑"/>
          <w:color w:val="000000" w:themeColor="text1"/>
          <w:szCs w:val="21"/>
          <w14:textFill>
            <w14:solidFill>
              <w14:schemeClr w14:val="tx1"/>
            </w14:solidFill>
          </w14:textFill>
        </w:rPr>
        <w:t>款和第</w:t>
      </w:r>
      <w:r>
        <w:rPr>
          <w:rFonts w:hint="eastAsia" w:ascii="微软雅黑" w:hAnsi="微软雅黑" w:eastAsia="微软雅黑"/>
          <w:color w:val="000000" w:themeColor="text1"/>
          <w:szCs w:val="21"/>
          <w:u w:val="single"/>
          <w14:textFill>
            <w14:solidFill>
              <w14:schemeClr w14:val="tx1"/>
            </w14:solidFill>
          </w14:textFill>
        </w:rPr>
        <w:t>8</w:t>
      </w:r>
      <w:r>
        <w:rPr>
          <w:rFonts w:hint="eastAsia" w:ascii="微软雅黑" w:hAnsi="微软雅黑" w:eastAsia="微软雅黑"/>
          <w:color w:val="000000" w:themeColor="text1"/>
          <w:szCs w:val="21"/>
          <w14:textFill>
            <w14:solidFill>
              <w14:schemeClr w14:val="tx1"/>
            </w14:solidFill>
          </w14:textFill>
        </w:rPr>
        <w:t>条发出的澄清/修改补充文件。</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第一章</w:t>
      </w:r>
      <w:r>
        <w:rPr>
          <w:rFonts w:hint="eastAsia" w:ascii="微软雅黑" w:hAnsi="微软雅黑" w:eastAsia="微软雅黑"/>
          <w:color w:val="000000" w:themeColor="text1"/>
          <w:szCs w:val="21"/>
          <w14:textFill>
            <w14:solidFill>
              <w14:schemeClr w14:val="tx1"/>
            </w14:solidFill>
          </w14:textFill>
        </w:rPr>
        <w:t>比选公告</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第二章</w:t>
      </w:r>
      <w:r>
        <w:rPr>
          <w:rFonts w:hint="eastAsia" w:ascii="微软雅黑" w:hAnsi="微软雅黑" w:eastAsia="微软雅黑"/>
          <w:color w:val="000000" w:themeColor="text1"/>
          <w:szCs w:val="21"/>
          <w14:textFill>
            <w14:solidFill>
              <w14:schemeClr w14:val="tx1"/>
            </w14:solidFill>
          </w14:textFill>
        </w:rPr>
        <w:t>比选供应商须知</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第三章</w:t>
      </w:r>
      <w:r>
        <w:rPr>
          <w:rFonts w:hint="eastAsia" w:ascii="微软雅黑" w:hAnsi="微软雅黑" w:eastAsia="微软雅黑"/>
          <w:color w:val="000000" w:themeColor="text1"/>
          <w:szCs w:val="21"/>
          <w14:textFill>
            <w14:solidFill>
              <w14:schemeClr w14:val="tx1"/>
            </w14:solidFill>
          </w14:textFill>
        </w:rPr>
        <w:t>合同条件、格式</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第四章</w:t>
      </w:r>
      <w:r>
        <w:rPr>
          <w:rFonts w:hint="eastAsia" w:ascii="微软雅黑" w:hAnsi="微软雅黑" w:eastAsia="微软雅黑"/>
          <w:color w:val="000000" w:themeColor="text1"/>
          <w:szCs w:val="21"/>
          <w14:textFill>
            <w14:solidFill>
              <w14:schemeClr w14:val="tx1"/>
            </w14:solidFill>
          </w14:textFill>
        </w:rPr>
        <w:t>项目需求及说明</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第五章</w:t>
      </w:r>
      <w:r>
        <w:rPr>
          <w:rFonts w:hint="eastAsia" w:ascii="微软雅黑" w:hAnsi="微软雅黑" w:eastAsia="微软雅黑"/>
          <w:color w:val="000000" w:themeColor="text1"/>
          <w:szCs w:val="21"/>
          <w14:textFill>
            <w14:solidFill>
              <w14:schemeClr w14:val="tx1"/>
            </w14:solidFill>
          </w14:textFill>
        </w:rPr>
        <w:t>比选响应文件格式</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第六章</w:t>
      </w:r>
      <w:r>
        <w:rPr>
          <w:rFonts w:hint="eastAsia" w:ascii="微软雅黑" w:hAnsi="微软雅黑" w:eastAsia="微软雅黑"/>
          <w:color w:val="000000" w:themeColor="text1"/>
          <w:szCs w:val="21"/>
          <w14:textFill>
            <w14:solidFill>
              <w14:schemeClr w14:val="tx1"/>
            </w14:solidFill>
          </w14:textFill>
        </w:rPr>
        <w:t>评审办法</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6.2比选供应商应仔细阅读比选文件，并按照比选文件的规定格式编制比选响应文件，凡与比选文件的规定有重大不符的比选响应文件，将被视为无效比选，不予进入详细评审。</w:t>
      </w:r>
    </w:p>
    <w:p>
      <w:pPr>
        <w:adjustRightInd w:val="0"/>
        <w:snapToGrid w:val="0"/>
        <w:spacing w:line="480" w:lineRule="exact"/>
        <w:ind w:left="422" w:leftChars="200" w:hanging="2" w:hangingChars="1"/>
        <w:rPr>
          <w:rFonts w:ascii="微软雅黑" w:hAnsi="微软雅黑" w:eastAsia="微软雅黑"/>
          <w:b/>
          <w:bCs/>
          <w:color w:val="000000" w:themeColor="text1"/>
          <w:szCs w:val="21"/>
          <w14:textFill>
            <w14:solidFill>
              <w14:schemeClr w14:val="tx1"/>
            </w14:solidFill>
          </w14:textFill>
        </w:rPr>
      </w:pPr>
      <w:bookmarkStart w:id="18" w:name="_Toc23613350"/>
      <w:r>
        <w:rPr>
          <w:rFonts w:hint="eastAsia" w:ascii="微软雅黑" w:hAnsi="微软雅黑" w:eastAsia="微软雅黑"/>
          <w:b/>
          <w:bCs/>
          <w:color w:val="000000" w:themeColor="text1"/>
          <w:szCs w:val="21"/>
          <w14:textFill>
            <w14:solidFill>
              <w14:schemeClr w14:val="tx1"/>
            </w14:solidFill>
          </w14:textFill>
        </w:rPr>
        <w:t>7.比选文件的澄清和解答</w:t>
      </w:r>
      <w:bookmarkEnd w:id="18"/>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7.1比选供应商可以在本须知前附表中第6项规定的时间之前，对比选文件的有关事宜以书面形式（加盖公章）提请采购人予以澄清，采购人将通过书面形式向所有获得比选文件的比选供应商进行澄清（答复中不注明问题的来源）。</w:t>
      </w:r>
    </w:p>
    <w:p>
      <w:pPr>
        <w:adjustRightInd w:val="0"/>
        <w:snapToGrid w:val="0"/>
        <w:spacing w:line="480" w:lineRule="exact"/>
        <w:ind w:left="422" w:leftChars="200" w:hanging="2" w:hangingChars="1"/>
        <w:rPr>
          <w:rFonts w:ascii="微软雅黑" w:hAnsi="微软雅黑" w:eastAsia="微软雅黑"/>
          <w:b/>
          <w:bCs/>
          <w:color w:val="000000" w:themeColor="text1"/>
          <w:szCs w:val="21"/>
          <w14:textFill>
            <w14:solidFill>
              <w14:schemeClr w14:val="tx1"/>
            </w14:solidFill>
          </w14:textFill>
        </w:rPr>
      </w:pPr>
      <w:bookmarkStart w:id="19" w:name="_Toc23613351"/>
      <w:r>
        <w:rPr>
          <w:rFonts w:hint="eastAsia" w:ascii="微软雅黑" w:hAnsi="微软雅黑" w:eastAsia="微软雅黑"/>
          <w:b/>
          <w:bCs/>
          <w:color w:val="000000" w:themeColor="text1"/>
          <w:szCs w:val="21"/>
          <w14:textFill>
            <w14:solidFill>
              <w14:schemeClr w14:val="tx1"/>
            </w14:solidFill>
          </w14:textFill>
        </w:rPr>
        <w:t>8.比选文件的修改</w:t>
      </w:r>
      <w:bookmarkEnd w:id="19"/>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8.1采购人在比选截止日期3个工作日之前，可因任何原因，以补充通知的方式对比选文件进行修改。这种修改可能是采购人主动做出的，也可能是为了解答比选供应商疑问而做出的，采购人发出的所有的澄清/修改补充通知应视为比选文件的组成部分。</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8.2采购人发出的补充通知若前后存在不一致，以后发者为准。</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8.3为便于比选供应商在合理的时间内，按照澄清/补充通知提出的要求编制比选响应文件，采购人可以在适当的时候延长比选截止期，采购人和比选供应商相应的权利与义务亦应随之延长。</w:t>
      </w:r>
    </w:p>
    <w:p>
      <w:pPr>
        <w:adjustRightInd w:val="0"/>
        <w:snapToGrid w:val="0"/>
        <w:spacing w:line="480" w:lineRule="exact"/>
        <w:ind w:left="418" w:leftChars="199" w:firstLine="50" w:firstLineChars="24"/>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8.4比选供应商应在收到澄清/修改补充通知后24小时内以书面形式（加盖公章）向采购人确认收悉。</w:t>
      </w:r>
    </w:p>
    <w:p>
      <w:pPr>
        <w:rPr>
          <w:rFonts w:ascii="微软雅黑" w:hAnsi="微软雅黑" w:eastAsia="微软雅黑"/>
          <w:b/>
          <w:bCs/>
          <w:color w:val="000000" w:themeColor="text1"/>
          <w:sz w:val="28"/>
          <w:szCs w:val="28"/>
          <w14:textFill>
            <w14:solidFill>
              <w14:schemeClr w14:val="tx1"/>
            </w14:solidFill>
          </w14:textFill>
        </w:rPr>
      </w:pPr>
      <w:bookmarkStart w:id="20" w:name="_Toc33340837"/>
      <w:bookmarkStart w:id="21" w:name="_Toc10213429"/>
      <w:bookmarkStart w:id="22" w:name="_Toc24083812"/>
      <w:bookmarkStart w:id="23" w:name="_Toc68963463"/>
      <w:bookmarkStart w:id="24" w:name="_Toc23613352"/>
      <w:bookmarkStart w:id="25" w:name="_Toc24455232"/>
      <w:r>
        <w:rPr>
          <w:rFonts w:ascii="微软雅黑" w:hAnsi="微软雅黑" w:eastAsia="微软雅黑"/>
          <w:color w:val="000000" w:themeColor="text1"/>
          <w:sz w:val="28"/>
          <w:szCs w:val="28"/>
          <w14:textFill>
            <w14:solidFill>
              <w14:schemeClr w14:val="tx1"/>
            </w14:solidFill>
          </w14:textFill>
        </w:rPr>
        <w:br w:type="page"/>
      </w:r>
    </w:p>
    <w:p>
      <w:pPr>
        <w:pStyle w:val="3"/>
        <w:spacing w:line="480" w:lineRule="auto"/>
        <w:rPr>
          <w:rFonts w:ascii="微软雅黑" w:hAnsi="微软雅黑" w:eastAsia="微软雅黑"/>
          <w:color w:val="000000" w:themeColor="text1"/>
          <w:sz w:val="28"/>
          <w:szCs w:val="28"/>
          <w14:textFill>
            <w14:solidFill>
              <w14:schemeClr w14:val="tx1"/>
            </w14:solidFill>
          </w14:textFill>
        </w:rPr>
      </w:pPr>
      <w:bookmarkStart w:id="26" w:name="_Toc6956"/>
      <w:r>
        <w:rPr>
          <w:rFonts w:hint="eastAsia" w:ascii="微软雅黑" w:hAnsi="微软雅黑" w:eastAsia="微软雅黑"/>
          <w:color w:val="000000" w:themeColor="text1"/>
          <w:sz w:val="28"/>
          <w:szCs w:val="28"/>
          <w14:textFill>
            <w14:solidFill>
              <w14:schemeClr w14:val="tx1"/>
            </w14:solidFill>
          </w14:textFill>
        </w:rPr>
        <w:t>三、比选响应文件的编制</w:t>
      </w:r>
      <w:bookmarkEnd w:id="20"/>
      <w:bookmarkEnd w:id="21"/>
      <w:bookmarkEnd w:id="22"/>
      <w:bookmarkEnd w:id="23"/>
      <w:bookmarkEnd w:id="24"/>
      <w:bookmarkEnd w:id="25"/>
      <w:bookmarkEnd w:id="26"/>
    </w:p>
    <w:p>
      <w:pPr>
        <w:adjustRightInd w:val="0"/>
        <w:snapToGrid w:val="0"/>
        <w:spacing w:line="480" w:lineRule="exact"/>
        <w:ind w:left="422" w:leftChars="200" w:hanging="2" w:hangingChars="1"/>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9.比选响应文件的内容</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9.1比选供应商编写的比选响应文件，应至少包括但不限于下列各项内容：</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9.1.1比选函；</w:t>
      </w:r>
    </w:p>
    <w:p>
      <w:pPr>
        <w:tabs>
          <w:tab w:val="left" w:pos="644"/>
          <w:tab w:val="left" w:pos="1080"/>
          <w:tab w:val="left" w:pos="1260"/>
        </w:tabs>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9.1.2法定代表人授权委托书；</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9.1.3比选报价表；</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9.1.</w:t>
      </w:r>
      <w:r>
        <w:rPr>
          <w:rFonts w:ascii="微软雅黑" w:hAnsi="微软雅黑" w:eastAsia="微软雅黑"/>
          <w:color w:val="000000" w:themeColor="text1"/>
          <w:szCs w:val="21"/>
          <w14:textFill>
            <w14:solidFill>
              <w14:schemeClr w14:val="tx1"/>
            </w14:solidFill>
          </w14:textFill>
        </w:rPr>
        <w:t>4</w:t>
      </w:r>
      <w:r>
        <w:rPr>
          <w:rFonts w:hint="eastAsia" w:ascii="微软雅黑" w:hAnsi="微软雅黑" w:eastAsia="微软雅黑"/>
          <w:color w:val="000000" w:themeColor="text1"/>
          <w:szCs w:val="21"/>
          <w14:textFill>
            <w14:solidFill>
              <w14:schemeClr w14:val="tx1"/>
            </w14:solidFill>
          </w14:textFill>
        </w:rPr>
        <w:t>比选报明细价表；</w:t>
      </w:r>
    </w:p>
    <w:p>
      <w:pPr>
        <w:tabs>
          <w:tab w:val="left" w:pos="644"/>
          <w:tab w:val="left" w:pos="1080"/>
          <w:tab w:val="left" w:pos="1260"/>
        </w:tabs>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9.1.</w:t>
      </w:r>
      <w:r>
        <w:rPr>
          <w:rFonts w:ascii="微软雅黑" w:hAnsi="微软雅黑" w:eastAsia="微软雅黑"/>
          <w:color w:val="000000" w:themeColor="text1"/>
          <w:szCs w:val="21"/>
          <w14:textFill>
            <w14:solidFill>
              <w14:schemeClr w14:val="tx1"/>
            </w14:solidFill>
          </w14:textFill>
        </w:rPr>
        <w:t>5</w:t>
      </w:r>
      <w:r>
        <w:rPr>
          <w:rFonts w:hint="eastAsia" w:ascii="微软雅黑" w:hAnsi="微软雅黑" w:eastAsia="微软雅黑"/>
          <w:color w:val="000000" w:themeColor="text1"/>
          <w:szCs w:val="21"/>
          <w14:textFill>
            <w14:solidFill>
              <w14:schemeClr w14:val="tx1"/>
            </w14:solidFill>
          </w14:textFill>
        </w:rPr>
        <w:t>资质证明文件：</w:t>
      </w:r>
    </w:p>
    <w:p>
      <w:pPr>
        <w:tabs>
          <w:tab w:val="left" w:pos="5580"/>
        </w:tabs>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(1)法人营业执照（副本）</w:t>
      </w:r>
    </w:p>
    <w:p>
      <w:pPr>
        <w:tabs>
          <w:tab w:val="left" w:pos="5580"/>
        </w:tabs>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(2)法定</w:t>
      </w:r>
      <w:r>
        <w:rPr>
          <w:rFonts w:ascii="微软雅黑" w:hAnsi="微软雅黑" w:eastAsia="微软雅黑"/>
          <w:color w:val="000000" w:themeColor="text1"/>
          <w:szCs w:val="21"/>
          <w14:textFill>
            <w14:solidFill>
              <w14:schemeClr w14:val="tx1"/>
            </w14:solidFill>
          </w14:textFill>
        </w:rPr>
        <w:t>代表人</w:t>
      </w:r>
      <w:r>
        <w:rPr>
          <w:rFonts w:hint="eastAsia" w:ascii="微软雅黑" w:hAnsi="微软雅黑" w:eastAsia="微软雅黑"/>
          <w:color w:val="000000" w:themeColor="text1"/>
          <w:szCs w:val="21"/>
          <w14:textFill>
            <w14:solidFill>
              <w14:schemeClr w14:val="tx1"/>
            </w14:solidFill>
          </w14:textFill>
        </w:rPr>
        <w:t>授权书</w:t>
      </w:r>
    </w:p>
    <w:p>
      <w:pPr>
        <w:tabs>
          <w:tab w:val="left" w:pos="5580"/>
        </w:tabs>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(3)授权代表身份证</w:t>
      </w:r>
    </w:p>
    <w:p>
      <w:pPr>
        <w:tabs>
          <w:tab w:val="left" w:pos="5580"/>
        </w:tabs>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(4)近三年内在本行业内从事相关工作未受到政府部门给予不良记录和行政处罚的承诺（格式）</w:t>
      </w:r>
    </w:p>
    <w:p>
      <w:pPr>
        <w:pStyle w:val="22"/>
        <w:tabs>
          <w:tab w:val="left" w:pos="5580"/>
        </w:tabs>
        <w:adjustRightInd w:val="0"/>
        <w:snapToGrid w:val="0"/>
        <w:spacing w:line="480" w:lineRule="exact"/>
        <w:ind w:firstLine="420" w:firstLineChars="200"/>
        <w:rPr>
          <w:rFonts w:ascii="微软雅黑" w:hAnsi="微软雅黑" w:eastAsia="微软雅黑"/>
          <w:color w:val="000000" w:themeColor="text1"/>
          <w:sz w:val="21"/>
          <w:szCs w:val="21"/>
          <w14:textFill>
            <w14:solidFill>
              <w14:schemeClr w14:val="tx1"/>
            </w14:solidFill>
          </w14:textFill>
        </w:rPr>
      </w:pPr>
      <w:r>
        <w:rPr>
          <w:rFonts w:ascii="微软雅黑" w:hAnsi="微软雅黑" w:eastAsia="微软雅黑"/>
          <w:color w:val="000000" w:themeColor="text1"/>
          <w:sz w:val="21"/>
          <w:szCs w:val="21"/>
          <w14:textFill>
            <w14:solidFill>
              <w14:schemeClr w14:val="tx1"/>
            </w14:solidFill>
          </w14:textFill>
        </w:rPr>
        <w:t>9.1.6</w:t>
      </w:r>
      <w:r>
        <w:rPr>
          <w:rFonts w:hint="eastAsia" w:ascii="微软雅黑" w:hAnsi="微软雅黑" w:eastAsia="微软雅黑"/>
          <w:color w:val="000000" w:themeColor="text1"/>
          <w:sz w:val="21"/>
          <w:szCs w:val="21"/>
          <w14:textFill>
            <w14:solidFill>
              <w14:schemeClr w14:val="tx1"/>
            </w14:solidFill>
          </w14:textFill>
        </w:rPr>
        <w:t>其他相关证明文件。</w:t>
      </w:r>
    </w:p>
    <w:p>
      <w:pPr>
        <w:pStyle w:val="22"/>
        <w:tabs>
          <w:tab w:val="left" w:pos="5580"/>
        </w:tabs>
        <w:adjustRightInd w:val="0"/>
        <w:snapToGrid w:val="0"/>
        <w:spacing w:line="480" w:lineRule="exact"/>
        <w:ind w:firstLine="420" w:firstLineChars="200"/>
        <w:rPr>
          <w:rFonts w:ascii="微软雅黑" w:hAnsi="微软雅黑" w:eastAsia="微软雅黑"/>
          <w:color w:val="000000" w:themeColor="text1"/>
          <w:sz w:val="21"/>
          <w:szCs w:val="21"/>
          <w14:textFill>
            <w14:solidFill>
              <w14:schemeClr w14:val="tx1"/>
            </w14:solidFill>
          </w14:textFill>
        </w:rPr>
      </w:pPr>
      <w:r>
        <w:rPr>
          <w:rFonts w:ascii="微软雅黑" w:hAnsi="微软雅黑" w:eastAsia="微软雅黑"/>
          <w:color w:val="000000" w:themeColor="text1"/>
          <w:sz w:val="21"/>
          <w:szCs w:val="21"/>
          <w14:textFill>
            <w14:solidFill>
              <w14:schemeClr w14:val="tx1"/>
            </w14:solidFill>
          </w14:textFill>
        </w:rPr>
        <w:t>9.1.7</w:t>
      </w:r>
      <w:r>
        <w:rPr>
          <w:rFonts w:hint="eastAsia" w:ascii="微软雅黑" w:hAnsi="微软雅黑" w:eastAsia="微软雅黑"/>
          <w:color w:val="000000" w:themeColor="text1"/>
          <w:sz w:val="21"/>
          <w:szCs w:val="21"/>
          <w14:textFill>
            <w14:solidFill>
              <w14:schemeClr w14:val="tx1"/>
            </w14:solidFill>
          </w14:textFill>
        </w:rPr>
        <w:t>施工方案。</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施工方案部分参照比选文件“第四章项目需求及说明”。</w:t>
      </w:r>
    </w:p>
    <w:p>
      <w:pPr>
        <w:adjustRightInd w:val="0"/>
        <w:snapToGrid w:val="0"/>
        <w:spacing w:line="480" w:lineRule="exact"/>
        <w:ind w:left="420" w:left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9.2本比选文件应符合以下要求：</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9.2.1本比选文件要求的或比选供应商认为有必要提供的其他资料，可根据所提供资料的内容和性质列入上述各部分的文件中。</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9.2.2比选供应商应使用比选文件提供的比选响应文件格式</w:t>
      </w:r>
      <w:r>
        <w:rPr>
          <w:rFonts w:ascii="微软雅黑" w:hAnsi="微软雅黑"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表格可以按同样格式扩展。</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9.2.3比选响应文件应印刷清晰整洁，编制目录，注明页码，以便查阅。</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9.2.4比选响应文件、比选交换的文件和往来信函应采用简体中文。除非比选文件另有规定，计量单位应使用中华人民共和国法定计量单位。</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9.2.5比选供应商应详细阅读比选文件的全部内容。比选响应文件必须对比选文件中的内容作出实质性和完整的响应，如果比选响应文件填报的内容资料不详，或没有对比选文件中的内容作出实质性和完整的响应其后果将由比选供应商自己负责。</w:t>
      </w:r>
    </w:p>
    <w:p>
      <w:pPr>
        <w:adjustRightInd w:val="0"/>
        <w:snapToGrid w:val="0"/>
        <w:spacing w:line="480" w:lineRule="exact"/>
        <w:ind w:left="494" w:leftChars="200" w:hanging="74" w:hangingChars="35"/>
        <w:rPr>
          <w:rFonts w:ascii="微软雅黑" w:hAnsi="微软雅黑" w:eastAsia="微软雅黑"/>
          <w:b/>
          <w:bCs/>
          <w:color w:val="000000" w:themeColor="text1"/>
          <w:szCs w:val="21"/>
          <w14:textFill>
            <w14:solidFill>
              <w14:schemeClr w14:val="tx1"/>
            </w14:solidFill>
          </w14:textFill>
        </w:rPr>
      </w:pPr>
      <w:bookmarkStart w:id="27" w:name="_Toc23613354"/>
      <w:r>
        <w:rPr>
          <w:rFonts w:ascii="微软雅黑" w:hAnsi="微软雅黑" w:eastAsia="微软雅黑"/>
          <w:b/>
          <w:bCs/>
          <w:color w:val="000000" w:themeColor="text1"/>
          <w:szCs w:val="21"/>
          <w14:textFill>
            <w14:solidFill>
              <w14:schemeClr w14:val="tx1"/>
            </w14:solidFill>
          </w14:textFill>
        </w:rPr>
        <w:t>10．</w:t>
      </w:r>
      <w:r>
        <w:rPr>
          <w:rFonts w:hint="eastAsia" w:ascii="微软雅黑" w:hAnsi="微软雅黑" w:eastAsia="微软雅黑"/>
          <w:b/>
          <w:bCs/>
          <w:color w:val="000000" w:themeColor="text1"/>
          <w:szCs w:val="21"/>
          <w14:textFill>
            <w14:solidFill>
              <w14:schemeClr w14:val="tx1"/>
            </w14:solidFill>
          </w14:textFill>
        </w:rPr>
        <w:t>比选报价</w:t>
      </w:r>
      <w:bookmarkEnd w:id="27"/>
      <w:r>
        <w:rPr>
          <w:rFonts w:hint="eastAsia" w:ascii="微软雅黑" w:hAnsi="微软雅黑" w:eastAsia="微软雅黑"/>
          <w:b/>
          <w:bCs/>
          <w:color w:val="000000" w:themeColor="text1"/>
          <w:szCs w:val="21"/>
          <w14:textFill>
            <w14:solidFill>
              <w14:schemeClr w14:val="tx1"/>
            </w14:solidFill>
          </w14:textFill>
        </w:rPr>
        <w:t>说明</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10.1除非本比选文件或补充/澄清通知另有规定，比选范围应包括本须知所述的全部内容，比选供应商的报价应是按照国家相关规定，实施比选范围内全部施工内容所需的全部费用。</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10.2对于比选供应商在比选报价中没有进行报价的项目，并且该项目在比选文件中并没有明确提出免除比选供应商的施工义务，比选供应商将视为该施工项目的价格已包含在比选报价中，或由比选供应商免费提供。</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10.3项目计费方式在委托范围内采用</w:t>
      </w:r>
      <w:r>
        <w:rPr>
          <w:rFonts w:hint="eastAsia" w:ascii="微软雅黑" w:hAnsi="微软雅黑" w:eastAsia="微软雅黑"/>
          <w:b/>
          <w:bCs/>
          <w:color w:val="000000" w:themeColor="text1"/>
          <w:szCs w:val="21"/>
          <w14:textFill>
            <w14:solidFill>
              <w14:schemeClr w14:val="tx1"/>
            </w14:solidFill>
          </w14:textFill>
        </w:rPr>
        <w:t>包干制</w:t>
      </w:r>
      <w:r>
        <w:rPr>
          <w:rFonts w:hint="eastAsia" w:ascii="微软雅黑" w:hAnsi="微软雅黑" w:eastAsia="微软雅黑"/>
          <w:color w:val="000000" w:themeColor="text1"/>
          <w:szCs w:val="21"/>
          <w14:textFill>
            <w14:solidFill>
              <w14:schemeClr w14:val="tx1"/>
            </w14:solidFill>
          </w14:textFill>
        </w:rPr>
        <w:t>。比选供应商必须综合考虑本项目的具体情况、比选供应商自身实力、市场竞争因素规定发生调整的情况，按照比选文件规定的格式和内容进行报价。</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10.4比选价格均采用人民币币种报出。</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10.5比选供应商对比选报价若有说明应在比选报价信显著处给予注明，只有比选时唱出的报价和优惠条件，在评审时才会予以考虑。本项目不接受可选择的比选方案和报价。任何有选择的或可调整的比选方案和报价将被视为非响应性响应而被拒绝。</w:t>
      </w:r>
    </w:p>
    <w:p>
      <w:pPr>
        <w:adjustRightInd w:val="0"/>
        <w:snapToGrid w:val="0"/>
        <w:spacing w:line="480" w:lineRule="exact"/>
        <w:ind w:left="420" w:left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10.6比选供应商比选报价超出预算价的比选将被拒绝。</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11.  比选有效期</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11.1比选有效期为比选之日后本须知前附表中第</w:t>
      </w:r>
      <w:r>
        <w:rPr>
          <w:rFonts w:ascii="微软雅黑" w:hAnsi="微软雅黑" w:eastAsia="微软雅黑"/>
          <w:color w:val="000000" w:themeColor="text1"/>
          <w:szCs w:val="21"/>
          <w:u w:val="single"/>
          <w14:textFill>
            <w14:solidFill>
              <w14:schemeClr w14:val="tx1"/>
            </w14:solidFill>
          </w14:textFill>
        </w:rPr>
        <w:t>9</w:t>
      </w:r>
      <w:r>
        <w:rPr>
          <w:rFonts w:hint="eastAsia" w:ascii="微软雅黑" w:hAnsi="微软雅黑" w:eastAsia="微软雅黑"/>
          <w:color w:val="000000" w:themeColor="text1"/>
          <w:szCs w:val="21"/>
          <w14:textFill>
            <w14:solidFill>
              <w14:schemeClr w14:val="tx1"/>
            </w14:solidFill>
          </w14:textFill>
        </w:rPr>
        <w:t>项所述的日历日。在此期间内，所有比选响应文件均保持有效。</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11.2在原定比选有效期满之前，如果出现特殊情况，采购人可适当延长比选有效期，并及时通知比选供应商。</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12．比选保证金（本项目不涉及）</w:t>
      </w:r>
    </w:p>
    <w:p>
      <w:pPr>
        <w:adjustRightInd w:val="0"/>
        <w:snapToGrid w:val="0"/>
        <w:spacing w:line="480" w:lineRule="exact"/>
        <w:ind w:left="420" w:left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12.1比选供应商在递交比选响应文件之前必须向采购人交纳本须知前附表第</w:t>
      </w:r>
      <w:r>
        <w:rPr>
          <w:rFonts w:hint="eastAsia" w:ascii="微软雅黑" w:hAnsi="微软雅黑" w:eastAsia="微软雅黑"/>
          <w:color w:val="000000" w:themeColor="text1"/>
          <w:szCs w:val="21"/>
          <w:u w:val="single"/>
          <w14:textFill>
            <w14:solidFill>
              <w14:schemeClr w14:val="tx1"/>
            </w14:solidFill>
          </w14:textFill>
        </w:rPr>
        <w:t>8</w:t>
      </w:r>
      <w:r>
        <w:rPr>
          <w:rFonts w:hint="eastAsia" w:ascii="微软雅黑" w:hAnsi="微软雅黑" w:eastAsia="微软雅黑"/>
          <w:color w:val="000000" w:themeColor="text1"/>
          <w:szCs w:val="21"/>
          <w14:textFill>
            <w14:solidFill>
              <w14:schemeClr w14:val="tx1"/>
            </w14:solidFill>
          </w14:textFill>
        </w:rPr>
        <w:t>项所述金额的比选保证金。</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12.2比选保证金有效期应与比选有效期保持一致。</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12.3比选供应商若依据本须知第</w:t>
      </w:r>
      <w:r>
        <w:rPr>
          <w:rFonts w:hint="eastAsia" w:ascii="微软雅黑" w:hAnsi="微软雅黑" w:eastAsia="微软雅黑"/>
          <w:color w:val="000000" w:themeColor="text1"/>
          <w:szCs w:val="21"/>
          <w:u w:val="single"/>
          <w14:textFill>
            <w14:solidFill>
              <w14:schemeClr w14:val="tx1"/>
            </w14:solidFill>
          </w14:textFill>
        </w:rPr>
        <w:t>11</w:t>
      </w:r>
      <w:r>
        <w:rPr>
          <w:rFonts w:hint="eastAsia" w:ascii="微软雅黑" w:hAnsi="微软雅黑" w:eastAsia="微软雅黑"/>
          <w:color w:val="000000" w:themeColor="text1"/>
          <w:szCs w:val="21"/>
          <w14:textFill>
            <w14:solidFill>
              <w14:schemeClr w14:val="tx1"/>
            </w14:solidFill>
          </w14:textFill>
        </w:rPr>
        <w:t>条的规定延长了比选响应文件有效期，比选保证金的有效期也相应延长；若比选供应商不同意延长比选有效期而放弃比选，采购人将在原比选保证金有效期内退还其比选保证金。对于未能按要求提交足额比选保证金的比选响应文件，可视为不响应比选文件而予以拒绝。</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12.4中选人的比选保证金将在中选人按规定与比选供应商签订合同之后5个工作日内无息返还；未成交比选供应商的比选保证金，将在中选通知书发出后5个工作日内无息返还。</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12.5比选供应商如有下列情况，其比选保证金将不予退还：</w:t>
      </w:r>
    </w:p>
    <w:p>
      <w:pPr>
        <w:tabs>
          <w:tab w:val="left" w:pos="882"/>
        </w:tabs>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12.5.1比选供应商在比选有效期内修改或撤回其比选响应文件；</w:t>
      </w:r>
    </w:p>
    <w:p>
      <w:pPr>
        <w:tabs>
          <w:tab w:val="left" w:pos="882"/>
        </w:tabs>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12.5.2串通作弊、哄抬标价；</w:t>
      </w:r>
    </w:p>
    <w:p>
      <w:pPr>
        <w:tabs>
          <w:tab w:val="left" w:pos="882"/>
        </w:tabs>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12.</w:t>
      </w:r>
      <w:r>
        <w:rPr>
          <w:rFonts w:ascii="微软雅黑" w:hAnsi="微软雅黑" w:eastAsia="微软雅黑"/>
          <w:color w:val="000000" w:themeColor="text1"/>
          <w:szCs w:val="21"/>
          <w14:textFill>
            <w14:solidFill>
              <w14:schemeClr w14:val="tx1"/>
            </w14:solidFill>
          </w14:textFill>
        </w:rPr>
        <w:t>6</w:t>
      </w:r>
      <w:r>
        <w:rPr>
          <w:rFonts w:hint="eastAsia" w:ascii="微软雅黑" w:hAnsi="微软雅黑" w:eastAsia="微软雅黑"/>
          <w:color w:val="000000" w:themeColor="text1"/>
          <w:szCs w:val="21"/>
          <w14:textFill>
            <w14:solidFill>
              <w14:schemeClr w14:val="tx1"/>
            </w14:solidFill>
          </w14:textFill>
        </w:rPr>
        <w:t>成交的比选供应商未能在规定的期限内与比选供应商签订合同；</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bookmarkStart w:id="28" w:name="_Toc23613356"/>
      <w:r>
        <w:rPr>
          <w:rFonts w:hint="eastAsia" w:ascii="微软雅黑" w:hAnsi="微软雅黑" w:eastAsia="微软雅黑"/>
          <w:b/>
          <w:bCs/>
          <w:color w:val="000000" w:themeColor="text1"/>
          <w:szCs w:val="21"/>
          <w14:textFill>
            <w14:solidFill>
              <w14:schemeClr w14:val="tx1"/>
            </w14:solidFill>
          </w14:textFill>
        </w:rPr>
        <w:t>13．比选响应文件的签署</w:t>
      </w:r>
      <w:bookmarkEnd w:id="28"/>
    </w:p>
    <w:p>
      <w:pPr>
        <w:numPr>
          <w:ilvl w:val="1"/>
          <w:numId w:val="0"/>
        </w:num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13.1</w:t>
      </w:r>
      <w:r>
        <w:rPr>
          <w:rFonts w:hint="eastAsia" w:ascii="微软雅黑" w:hAnsi="微软雅黑" w:eastAsia="微软雅黑"/>
          <w:color w:val="000000" w:themeColor="text1"/>
          <w:szCs w:val="21"/>
          <w14:textFill>
            <w14:solidFill>
              <w14:schemeClr w14:val="tx1"/>
            </w14:solidFill>
          </w14:textFill>
        </w:rPr>
        <w:t>比选供应商应按本须知第9条规定内容与格式向采购人送交比选响应文件，比选供应商应针对所投项目</w:t>
      </w:r>
      <w:r>
        <w:rPr>
          <w:rFonts w:hint="eastAsia" w:ascii="微软雅黑" w:hAnsi="微软雅黑" w:eastAsia="微软雅黑"/>
          <w:b/>
          <w:bCs/>
          <w:color w:val="000000" w:themeColor="text1"/>
          <w:szCs w:val="21"/>
          <w:u w:val="single"/>
          <w14:textFill>
            <w14:solidFill>
              <w14:schemeClr w14:val="tx1"/>
            </w14:solidFill>
          </w14:textFill>
        </w:rPr>
        <w:t>独立准备</w:t>
      </w:r>
      <w:r>
        <w:rPr>
          <w:rFonts w:hint="eastAsia" w:ascii="微软雅黑" w:hAnsi="微软雅黑" w:eastAsia="微软雅黑"/>
          <w:color w:val="000000" w:themeColor="text1"/>
          <w:szCs w:val="21"/>
          <w14:textFill>
            <w14:solidFill>
              <w14:schemeClr w14:val="tx1"/>
            </w14:solidFill>
          </w14:textFill>
        </w:rPr>
        <w:t>比选响应文件</w:t>
      </w:r>
      <w:r>
        <w:rPr>
          <w:rFonts w:hint="eastAsia" w:ascii="微软雅黑" w:hAnsi="微软雅黑" w:eastAsia="微软雅黑"/>
          <w:b/>
          <w:bCs/>
          <w:color w:val="000000" w:themeColor="text1"/>
          <w:szCs w:val="21"/>
          <w14:textFill>
            <w14:solidFill>
              <w14:schemeClr w14:val="tx1"/>
            </w14:solidFill>
          </w14:textFill>
        </w:rPr>
        <w:t>正</w:t>
      </w:r>
      <w:r>
        <w:rPr>
          <w:rFonts w:hint="eastAsia" w:ascii="微软雅黑" w:hAnsi="微软雅黑" w:eastAsia="微软雅黑"/>
          <w:b/>
          <w:color w:val="000000" w:themeColor="text1"/>
          <w:szCs w:val="21"/>
          <w14:textFill>
            <w14:solidFill>
              <w14:schemeClr w14:val="tx1"/>
            </w14:solidFill>
          </w14:textFill>
        </w:rPr>
        <w:t>本一份，副本壹份，</w:t>
      </w:r>
      <w:r>
        <w:rPr>
          <w:rFonts w:hint="eastAsia" w:ascii="微软雅黑" w:hAnsi="微软雅黑" w:eastAsia="微软雅黑"/>
          <w:color w:val="000000" w:themeColor="text1"/>
          <w:szCs w:val="21"/>
          <w14:textFill>
            <w14:solidFill>
              <w14:schemeClr w14:val="tx1"/>
            </w14:solidFill>
          </w14:textFill>
        </w:rPr>
        <w:t>当正本与副本有不一致之处时，以正本为准。比选响应文件的副本可为正本的复印件。</w:t>
      </w:r>
    </w:p>
    <w:p>
      <w:pPr>
        <w:numPr>
          <w:ilvl w:val="1"/>
          <w:numId w:val="0"/>
        </w:num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13.2</w:t>
      </w:r>
      <w:r>
        <w:rPr>
          <w:rFonts w:hint="eastAsia" w:ascii="微软雅黑" w:hAnsi="微软雅黑" w:eastAsia="微软雅黑"/>
          <w:color w:val="000000" w:themeColor="text1"/>
          <w:szCs w:val="21"/>
          <w14:textFill>
            <w14:solidFill>
              <w14:schemeClr w14:val="tx1"/>
            </w14:solidFill>
          </w14:textFill>
        </w:rPr>
        <w:t>比选响应文件的正本，一律用不褪色的墨水书写或打印并逐页编码，加盖比选供应商单位公章、</w:t>
      </w:r>
      <w:r>
        <w:rPr>
          <w:rFonts w:ascii="微软雅黑" w:hAnsi="微软雅黑" w:eastAsia="微软雅黑"/>
          <w:color w:val="000000" w:themeColor="text1"/>
          <w:szCs w:val="21"/>
          <w14:textFill>
            <w14:solidFill>
              <w14:schemeClr w14:val="tx1"/>
            </w14:solidFill>
          </w14:textFill>
        </w:rPr>
        <w:t>法定代表人</w:t>
      </w:r>
      <w:r>
        <w:rPr>
          <w:rFonts w:hint="eastAsia" w:ascii="微软雅黑" w:hAnsi="微软雅黑" w:eastAsia="微软雅黑"/>
          <w:color w:val="000000" w:themeColor="text1"/>
          <w:szCs w:val="21"/>
          <w14:textFill>
            <w14:solidFill>
              <w14:schemeClr w14:val="tx1"/>
            </w14:solidFill>
          </w14:textFill>
        </w:rPr>
        <w:t>（含骑缝章），并由比选供应商的法定代表人或其授权的代理人签字。</w:t>
      </w:r>
    </w:p>
    <w:p>
      <w:pPr>
        <w:numPr>
          <w:ilvl w:val="1"/>
          <w:numId w:val="0"/>
        </w:num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13.3</w:t>
      </w:r>
      <w:r>
        <w:rPr>
          <w:rFonts w:hint="eastAsia" w:ascii="微软雅黑" w:hAnsi="微软雅黑" w:eastAsia="微软雅黑"/>
          <w:color w:val="000000" w:themeColor="text1"/>
          <w:szCs w:val="21"/>
          <w14:textFill>
            <w14:solidFill>
              <w14:schemeClr w14:val="tx1"/>
            </w14:solidFill>
          </w14:textFill>
        </w:rPr>
        <w:t>全套比选响应文件应无涂改和行间插字</w:t>
      </w:r>
      <w:r>
        <w:rPr>
          <w:rFonts w:ascii="微软雅黑" w:hAnsi="微软雅黑"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若有改动，无论何种原因所造成，都应由比选供应商的法定代表人或其授权的代理人在改动处签字。</w:t>
      </w:r>
    </w:p>
    <w:p>
      <w:pPr>
        <w:numPr>
          <w:ilvl w:val="1"/>
          <w:numId w:val="0"/>
        </w:num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13.4</w:t>
      </w:r>
      <w:r>
        <w:rPr>
          <w:rFonts w:hint="eastAsia" w:ascii="微软雅黑" w:hAnsi="微软雅黑" w:eastAsia="微软雅黑"/>
          <w:color w:val="000000" w:themeColor="text1"/>
          <w:szCs w:val="21"/>
          <w14:textFill>
            <w14:solidFill>
              <w14:schemeClr w14:val="tx1"/>
            </w14:solidFill>
          </w14:textFill>
        </w:rPr>
        <w:t>比选响应文件应严格按照比选文件规定的顺序装订成册并编制目录，由于编排混乱导致比选响应文件被误读或查找不到，视为比选供应商的责任。</w:t>
      </w:r>
    </w:p>
    <w:p>
      <w:pPr>
        <w:numPr>
          <w:ilvl w:val="1"/>
          <w:numId w:val="0"/>
        </w:num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13.5</w:t>
      </w:r>
      <w:r>
        <w:rPr>
          <w:rFonts w:hint="eastAsia" w:ascii="微软雅黑" w:hAnsi="微软雅黑" w:eastAsia="微软雅黑"/>
          <w:color w:val="000000" w:themeColor="text1"/>
          <w:szCs w:val="21"/>
          <w14:textFill>
            <w14:solidFill>
              <w14:schemeClr w14:val="tx1"/>
            </w14:solidFill>
          </w14:textFill>
        </w:rPr>
        <w:t>比选响应文件应严格按照比选文件的要求提交，并按规定的统一格式逐项填写，不准有空项；无相应内容可填写“无”、“无相应指标”等明确的回答文字。</w:t>
      </w:r>
    </w:p>
    <w:p>
      <w:pPr>
        <w:numPr>
          <w:ilvl w:val="1"/>
          <w:numId w:val="0"/>
        </w:num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13.6</w:t>
      </w:r>
      <w:r>
        <w:rPr>
          <w:rFonts w:hint="eastAsia" w:ascii="微软雅黑" w:hAnsi="微软雅黑" w:eastAsia="微软雅黑"/>
          <w:color w:val="000000" w:themeColor="text1"/>
          <w:szCs w:val="21"/>
          <w14:textFill>
            <w14:solidFill>
              <w14:schemeClr w14:val="tx1"/>
            </w14:solidFill>
          </w14:textFill>
        </w:rPr>
        <w:t>比选报价信为在比选仪式上唱标的内容，要求按格式统一填写，不得自行增减内容。比选供应商必须保证比选响应文件所提供的全部资料真实可靠，并接受评审委员会对其中任何资料进一步审查的要求。</w:t>
      </w:r>
      <w:bookmarkStart w:id="29" w:name="_Toc68963464"/>
      <w:bookmarkStart w:id="30" w:name="_Toc33340838"/>
      <w:bookmarkStart w:id="31" w:name="_Toc24083813"/>
      <w:bookmarkStart w:id="32" w:name="_Toc24455233"/>
      <w:bookmarkStart w:id="33" w:name="_Toc10213430"/>
    </w:p>
    <w:p>
      <w:pPr>
        <w:rPr>
          <w:rFonts w:ascii="微软雅黑" w:hAnsi="微软雅黑" w:eastAsia="微软雅黑"/>
          <w:b/>
          <w:bCs/>
          <w:color w:val="000000" w:themeColor="text1"/>
          <w:sz w:val="28"/>
          <w:szCs w:val="28"/>
          <w14:textFill>
            <w14:solidFill>
              <w14:schemeClr w14:val="tx1"/>
            </w14:solidFill>
          </w14:textFill>
        </w:rPr>
      </w:pPr>
      <w:r>
        <w:rPr>
          <w:rFonts w:ascii="微软雅黑" w:hAnsi="微软雅黑" w:eastAsia="微软雅黑"/>
          <w:color w:val="000000" w:themeColor="text1"/>
          <w:sz w:val="28"/>
          <w:szCs w:val="28"/>
          <w14:textFill>
            <w14:solidFill>
              <w14:schemeClr w14:val="tx1"/>
            </w14:solidFill>
          </w14:textFill>
        </w:rPr>
        <w:br w:type="page"/>
      </w:r>
    </w:p>
    <w:p>
      <w:pPr>
        <w:pStyle w:val="3"/>
        <w:spacing w:line="480" w:lineRule="auto"/>
        <w:rPr>
          <w:rFonts w:ascii="微软雅黑" w:hAnsi="微软雅黑" w:eastAsia="微软雅黑"/>
          <w:color w:val="000000" w:themeColor="text1"/>
          <w:sz w:val="28"/>
          <w:szCs w:val="28"/>
          <w14:textFill>
            <w14:solidFill>
              <w14:schemeClr w14:val="tx1"/>
            </w14:solidFill>
          </w14:textFill>
        </w:rPr>
      </w:pPr>
      <w:bookmarkStart w:id="34" w:name="_Toc19344"/>
      <w:r>
        <w:rPr>
          <w:rFonts w:hint="eastAsia" w:ascii="微软雅黑" w:hAnsi="微软雅黑" w:eastAsia="微软雅黑"/>
          <w:color w:val="000000" w:themeColor="text1"/>
          <w:sz w:val="28"/>
          <w:szCs w:val="28"/>
          <w14:textFill>
            <w14:solidFill>
              <w14:schemeClr w14:val="tx1"/>
            </w14:solidFill>
          </w14:textFill>
        </w:rPr>
        <w:t>四、比选响应文件的递交</w:t>
      </w:r>
      <w:bookmarkEnd w:id="29"/>
      <w:bookmarkEnd w:id="30"/>
      <w:bookmarkEnd w:id="31"/>
      <w:bookmarkEnd w:id="32"/>
      <w:bookmarkEnd w:id="33"/>
      <w:bookmarkEnd w:id="34"/>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14. 比选响应文件的装订、密封和标记</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比选供应商应将比选响应文件按照本须知第</w:t>
      </w:r>
      <w:r>
        <w:rPr>
          <w:rFonts w:hint="eastAsia" w:ascii="微软雅黑" w:hAnsi="微软雅黑" w:eastAsia="微软雅黑"/>
          <w:color w:val="000000" w:themeColor="text1"/>
          <w:szCs w:val="21"/>
          <w:u w:val="single"/>
          <w14:textFill>
            <w14:solidFill>
              <w14:schemeClr w14:val="tx1"/>
            </w14:solidFill>
          </w14:textFill>
        </w:rPr>
        <w:t>9</w:t>
      </w:r>
      <w:r>
        <w:rPr>
          <w:rFonts w:hint="eastAsia" w:ascii="微软雅黑" w:hAnsi="微软雅黑" w:eastAsia="微软雅黑"/>
          <w:color w:val="000000" w:themeColor="text1"/>
          <w:szCs w:val="21"/>
          <w14:textFill>
            <w14:solidFill>
              <w14:schemeClr w14:val="tx1"/>
            </w14:solidFill>
          </w14:textFill>
        </w:rPr>
        <w:t>条规定的内容和顺序进行编排。</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14.1比选响应文件正本、副本、比选报价表应分别密封，并注明“正本”、“副本”字样。然后将所有比选响应文件统一封装在一个外层封套中，封口处需加盖比选供应商公章。</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14.2在比选响应文件外层封套上均应注明下列识别标志：</w:t>
      </w:r>
    </w:p>
    <w:p>
      <w:pPr>
        <w:adjustRightInd w:val="0"/>
        <w:snapToGrid w:val="0"/>
        <w:spacing w:line="480" w:lineRule="exact"/>
        <w:ind w:left="1044" w:hanging="420"/>
        <w:rPr>
          <w:rFonts w:ascii="微软雅黑" w:hAnsi="微软雅黑" w:eastAsia="微软雅黑"/>
          <w:color w:val="000000" w:themeColor="text1"/>
          <w:szCs w:val="21"/>
          <w14:textFill>
            <w14:solidFill>
              <w14:schemeClr w14:val="tx1"/>
            </w14:solidFill>
          </w14:textFill>
        </w:rPr>
      </w:pPr>
      <w:r>
        <w:rPr>
          <w:rFonts w:ascii="Wingdings" w:hAnsi="Wingdings"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项目名称；</w:t>
      </w:r>
    </w:p>
    <w:p>
      <w:pPr>
        <w:adjustRightInd w:val="0"/>
        <w:snapToGrid w:val="0"/>
        <w:spacing w:line="480" w:lineRule="exact"/>
        <w:ind w:left="1044" w:hanging="420"/>
        <w:rPr>
          <w:rFonts w:ascii="微软雅黑" w:hAnsi="微软雅黑" w:eastAsia="微软雅黑"/>
          <w:color w:val="000000" w:themeColor="text1"/>
          <w:szCs w:val="21"/>
          <w14:textFill>
            <w14:solidFill>
              <w14:schemeClr w14:val="tx1"/>
            </w14:solidFill>
          </w14:textFill>
        </w:rPr>
      </w:pPr>
      <w:r>
        <w:rPr>
          <w:rFonts w:ascii="Wingdings" w:hAnsi="Wingdings"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比选响应文件递交地点；</w:t>
      </w:r>
    </w:p>
    <w:p>
      <w:pPr>
        <w:adjustRightInd w:val="0"/>
        <w:snapToGrid w:val="0"/>
        <w:spacing w:line="480" w:lineRule="exact"/>
        <w:ind w:firstLine="630" w:firstLineChars="300"/>
        <w:rPr>
          <w:rFonts w:ascii="微软雅黑" w:hAnsi="微软雅黑" w:eastAsia="微软雅黑"/>
          <w:color w:val="000000" w:themeColor="text1"/>
          <w:szCs w:val="21"/>
          <w14:textFill>
            <w14:solidFill>
              <w14:schemeClr w14:val="tx1"/>
            </w14:solidFill>
          </w14:textFill>
        </w:rPr>
      </w:pPr>
      <w:r>
        <w:rPr>
          <w:rFonts w:ascii="Wingdings" w:hAnsi="Wingdings"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2026年</w:t>
      </w:r>
      <w:r>
        <w:rPr>
          <w:rFonts w:hint="eastAsia" w:ascii="微软雅黑" w:hAnsi="微软雅黑" w:eastAsia="微软雅黑"/>
          <w:color w:val="000000" w:themeColor="text1"/>
          <w:szCs w:val="21"/>
          <w:lang w:val="en-US" w:eastAsia="zh-CN"/>
          <w14:textFill>
            <w14:solidFill>
              <w14:schemeClr w14:val="tx1"/>
            </w14:solidFill>
          </w14:textFill>
        </w:rPr>
        <w:t>8</w:t>
      </w:r>
      <w:r>
        <w:rPr>
          <w:rFonts w:hint="eastAsia" w:ascii="微软雅黑" w:hAnsi="微软雅黑" w:eastAsia="微软雅黑"/>
          <w:color w:val="000000" w:themeColor="text1"/>
          <w:szCs w:val="21"/>
          <w14:textFill>
            <w14:solidFill>
              <w14:schemeClr w14:val="tx1"/>
            </w14:solidFill>
          </w14:textFill>
        </w:rPr>
        <w:t>月</w:t>
      </w:r>
      <w:r>
        <w:rPr>
          <w:rFonts w:hint="eastAsia" w:ascii="微软雅黑" w:hAnsi="微软雅黑" w:eastAsia="微软雅黑"/>
          <w:color w:val="000000" w:themeColor="text1"/>
          <w:szCs w:val="21"/>
          <w:lang w:val="en-US" w:eastAsia="zh-CN"/>
          <w14:textFill>
            <w14:solidFill>
              <w14:schemeClr w14:val="tx1"/>
            </w14:solidFill>
          </w14:textFill>
        </w:rPr>
        <w:t>3</w:t>
      </w:r>
      <w:r>
        <w:rPr>
          <w:rFonts w:ascii="微软雅黑" w:hAnsi="微软雅黑" w:eastAsia="微软雅黑"/>
          <w:color w:val="000000" w:themeColor="text1"/>
          <w:szCs w:val="21"/>
          <w14:textFill>
            <w14:solidFill>
              <w14:schemeClr w14:val="tx1"/>
            </w14:solidFill>
          </w14:textFill>
        </w:rPr>
        <w:t>日</w:t>
      </w:r>
      <w:r>
        <w:rPr>
          <w:rFonts w:hint="eastAsia" w:ascii="微软雅黑" w:hAnsi="微软雅黑" w:eastAsia="微软雅黑"/>
          <w:color w:val="000000" w:themeColor="text1"/>
          <w:szCs w:val="21"/>
          <w:lang w:val="en-US" w:eastAsia="zh-CN"/>
          <w14:textFill>
            <w14:solidFill>
              <w14:schemeClr w14:val="tx1"/>
            </w14:solidFill>
          </w14:textFill>
        </w:rPr>
        <w:t>14</w:t>
      </w:r>
      <w:r>
        <w:rPr>
          <w:rFonts w:hint="eastAsia" w:ascii="微软雅黑" w:hAnsi="微软雅黑" w:eastAsia="微软雅黑"/>
          <w:color w:val="000000" w:themeColor="text1"/>
          <w:szCs w:val="21"/>
          <w14:textFill>
            <w14:solidFill>
              <w14:schemeClr w14:val="tx1"/>
            </w14:solidFill>
          </w14:textFill>
        </w:rPr>
        <w:t>时0</w:t>
      </w:r>
      <w:r>
        <w:rPr>
          <w:rFonts w:ascii="微软雅黑" w:hAnsi="微软雅黑" w:eastAsia="微软雅黑"/>
          <w:color w:val="000000" w:themeColor="text1"/>
          <w:szCs w:val="21"/>
          <w14:textFill>
            <w14:solidFill>
              <w14:schemeClr w14:val="tx1"/>
            </w14:solidFill>
          </w14:textFill>
        </w:rPr>
        <w:t>0</w:t>
      </w:r>
      <w:r>
        <w:rPr>
          <w:rFonts w:hint="eastAsia" w:ascii="微软雅黑" w:hAnsi="微软雅黑" w:eastAsia="微软雅黑"/>
          <w:color w:val="000000" w:themeColor="text1"/>
          <w:szCs w:val="21"/>
          <w14:textFill>
            <w14:solidFill>
              <w14:schemeClr w14:val="tx1"/>
            </w14:solidFill>
          </w14:textFill>
        </w:rPr>
        <w:t>分（北京时间）比选，此时间以前不得开启”的字样并加盖比选供应商公章</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14.3除了按本须知第</w:t>
      </w:r>
      <w:r>
        <w:rPr>
          <w:rFonts w:hint="eastAsia" w:ascii="微软雅黑" w:hAnsi="微软雅黑" w:eastAsia="微软雅黑"/>
          <w:color w:val="000000" w:themeColor="text1"/>
          <w:szCs w:val="21"/>
          <w:u w:val="single"/>
          <w14:textFill>
            <w14:solidFill>
              <w14:schemeClr w14:val="tx1"/>
            </w14:solidFill>
          </w14:textFill>
        </w:rPr>
        <w:t>14.2</w:t>
      </w:r>
      <w:r>
        <w:rPr>
          <w:rFonts w:hint="eastAsia" w:ascii="微软雅黑" w:hAnsi="微软雅黑" w:eastAsia="微软雅黑"/>
          <w:color w:val="000000" w:themeColor="text1"/>
          <w:szCs w:val="21"/>
          <w14:textFill>
            <w14:solidFill>
              <w14:schemeClr w14:val="tx1"/>
            </w14:solidFill>
          </w14:textFill>
        </w:rPr>
        <w:t>款所要求的识别字样外，在最外层封套上还应写明供应商的名称与地址、邮政编码，以便本须知第</w:t>
      </w:r>
      <w:r>
        <w:rPr>
          <w:rFonts w:hint="eastAsia" w:ascii="微软雅黑" w:hAnsi="微软雅黑" w:eastAsia="微软雅黑"/>
          <w:color w:val="000000" w:themeColor="text1"/>
          <w:szCs w:val="21"/>
          <w:u w:val="single"/>
          <w14:textFill>
            <w14:solidFill>
              <w14:schemeClr w14:val="tx1"/>
            </w14:solidFill>
          </w14:textFill>
        </w:rPr>
        <w:t>16</w:t>
      </w:r>
      <w:r>
        <w:rPr>
          <w:rFonts w:hint="eastAsia" w:ascii="微软雅黑" w:hAnsi="微软雅黑" w:eastAsia="微软雅黑"/>
          <w:color w:val="000000" w:themeColor="text1"/>
          <w:szCs w:val="21"/>
          <w14:textFill>
            <w14:solidFill>
              <w14:schemeClr w14:val="tx1"/>
            </w14:solidFill>
          </w14:textFill>
        </w:rPr>
        <w:t>条规定情况发生时，比选机构可按上面标明的比选供应商地址将比选响应文件原封退回。</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14.4 如果比选响应文件没有按本须知第</w:t>
      </w:r>
      <w:r>
        <w:rPr>
          <w:rFonts w:hint="eastAsia" w:ascii="微软雅黑" w:hAnsi="微软雅黑" w:eastAsia="微软雅黑"/>
          <w:color w:val="000000" w:themeColor="text1"/>
          <w:szCs w:val="21"/>
          <w:u w:val="single"/>
          <w14:textFill>
            <w14:solidFill>
              <w14:schemeClr w14:val="tx1"/>
            </w14:solidFill>
          </w14:textFill>
        </w:rPr>
        <w:t>14</w:t>
      </w:r>
      <w:r>
        <w:rPr>
          <w:rFonts w:hint="eastAsia" w:ascii="微软雅黑" w:hAnsi="微软雅黑" w:eastAsia="微软雅黑"/>
          <w:color w:val="000000" w:themeColor="text1"/>
          <w:szCs w:val="21"/>
          <w14:textFill>
            <w14:solidFill>
              <w14:schemeClr w14:val="tx1"/>
            </w14:solidFill>
          </w14:textFill>
        </w:rPr>
        <w:t>条的有关规定进行标记和密封，采购人将不承担比选响应文件错放或提前开封的责任。</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15. 比选响应文件的递交</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比选供应商必须按比选邀请书和本须知前附表第</w:t>
      </w:r>
      <w:r>
        <w:rPr>
          <w:rFonts w:ascii="微软雅黑" w:hAnsi="微软雅黑" w:eastAsia="微软雅黑"/>
          <w:color w:val="000000" w:themeColor="text1"/>
          <w:szCs w:val="21"/>
          <w:u w:val="single"/>
          <w14:textFill>
            <w14:solidFill>
              <w14:schemeClr w14:val="tx1"/>
            </w14:solidFill>
          </w14:textFill>
        </w:rPr>
        <w:t>9</w:t>
      </w:r>
      <w:r>
        <w:rPr>
          <w:rFonts w:hint="eastAsia" w:ascii="微软雅黑" w:hAnsi="微软雅黑" w:eastAsia="微软雅黑"/>
          <w:color w:val="000000" w:themeColor="text1"/>
          <w:szCs w:val="21"/>
          <w14:textFill>
            <w14:solidFill>
              <w14:schemeClr w14:val="tx1"/>
            </w14:solidFill>
          </w14:textFill>
        </w:rPr>
        <w:t>条中规定的地点，在规定的时间内将比选响应文件送达。</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16. 迟到的比选响应文件</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采购人对于迟到的比选响应文件将不予接收，并退还比选供应商。</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17. 比选响应文件的修改与撤回</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17.1 比选供应商在递交比选响应文件以后，在规定的比选截止时间之前，可以书面形式向采购人递交请求修改其比选响应文件的通知。但在比选截止以后，不能修改比选响应文件。</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17.2 比选供应商修改后的比选响应文件或撤回通知</w:t>
      </w:r>
      <w:r>
        <w:rPr>
          <w:rFonts w:ascii="微软雅黑" w:hAnsi="微软雅黑"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应按本须知第</w:t>
      </w:r>
      <w:r>
        <w:rPr>
          <w:rFonts w:hint="eastAsia" w:ascii="微软雅黑" w:hAnsi="微软雅黑" w:eastAsia="微软雅黑"/>
          <w:color w:val="000000" w:themeColor="text1"/>
          <w:szCs w:val="21"/>
          <w:u w:val="single"/>
          <w14:textFill>
            <w14:solidFill>
              <w14:schemeClr w14:val="tx1"/>
            </w14:solidFill>
          </w14:textFill>
        </w:rPr>
        <w:t>13</w:t>
      </w:r>
      <w:r>
        <w:rPr>
          <w:rFonts w:hint="eastAsia" w:ascii="微软雅黑" w:hAnsi="微软雅黑" w:eastAsia="微软雅黑"/>
          <w:color w:val="000000" w:themeColor="text1"/>
          <w:szCs w:val="21"/>
          <w14:textFill>
            <w14:solidFill>
              <w14:schemeClr w14:val="tx1"/>
            </w14:solidFill>
          </w14:textFill>
        </w:rPr>
        <w:t>条和第</w:t>
      </w:r>
      <w:r>
        <w:rPr>
          <w:rFonts w:hint="eastAsia" w:ascii="微软雅黑" w:hAnsi="微软雅黑" w:eastAsia="微软雅黑"/>
          <w:color w:val="000000" w:themeColor="text1"/>
          <w:szCs w:val="21"/>
          <w:u w:val="single"/>
          <w14:textFill>
            <w14:solidFill>
              <w14:schemeClr w14:val="tx1"/>
            </w14:solidFill>
          </w14:textFill>
        </w:rPr>
        <w:t>14</w:t>
      </w:r>
      <w:r>
        <w:rPr>
          <w:rFonts w:hint="eastAsia" w:ascii="微软雅黑" w:hAnsi="微软雅黑" w:eastAsia="微软雅黑"/>
          <w:color w:val="000000" w:themeColor="text1"/>
          <w:szCs w:val="21"/>
          <w14:textFill>
            <w14:solidFill>
              <w14:schemeClr w14:val="tx1"/>
            </w14:solidFill>
          </w14:textFill>
        </w:rPr>
        <w:t>条的规定编制、签署、密封、标志和递交。</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17.3 根据本须知第</w:t>
      </w:r>
      <w:r>
        <w:rPr>
          <w:rFonts w:hint="eastAsia" w:ascii="微软雅黑" w:hAnsi="微软雅黑" w:eastAsia="微软雅黑"/>
          <w:color w:val="000000" w:themeColor="text1"/>
          <w:szCs w:val="21"/>
          <w:u w:val="single"/>
          <w14:textFill>
            <w14:solidFill>
              <w14:schemeClr w14:val="tx1"/>
            </w14:solidFill>
          </w14:textFill>
        </w:rPr>
        <w:t>12</w:t>
      </w:r>
      <w:r>
        <w:rPr>
          <w:rFonts w:hint="eastAsia" w:ascii="微软雅黑" w:hAnsi="微软雅黑" w:eastAsia="微软雅黑"/>
          <w:color w:val="000000" w:themeColor="text1"/>
          <w:szCs w:val="21"/>
          <w14:textFill>
            <w14:solidFill>
              <w14:schemeClr w14:val="tx1"/>
            </w14:solidFill>
          </w14:textFill>
        </w:rPr>
        <w:t>款的规定</w:t>
      </w:r>
      <w:r>
        <w:rPr>
          <w:rFonts w:ascii="微软雅黑" w:hAnsi="微软雅黑"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在比选截止时间与比选文件中规定的比选有效期终止日之间的这段时间内</w:t>
      </w:r>
      <w:r>
        <w:rPr>
          <w:rFonts w:ascii="微软雅黑" w:hAnsi="微软雅黑"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比选供应商不能撤回比选响应文件，否则其比选保证金将被没收。</w:t>
      </w:r>
    </w:p>
    <w:p>
      <w:pPr>
        <w:rPr>
          <w:rFonts w:ascii="微软雅黑" w:hAnsi="微软雅黑" w:eastAsia="微软雅黑"/>
          <w:b/>
          <w:bCs/>
          <w:color w:val="000000" w:themeColor="text1"/>
          <w:sz w:val="28"/>
          <w:szCs w:val="28"/>
          <w14:textFill>
            <w14:solidFill>
              <w14:schemeClr w14:val="tx1"/>
            </w14:solidFill>
          </w14:textFill>
        </w:rPr>
      </w:pPr>
      <w:bookmarkStart w:id="35" w:name="_Toc24455234"/>
      <w:bookmarkStart w:id="36" w:name="_Toc24083814"/>
      <w:bookmarkStart w:id="37" w:name="_Toc33340839"/>
      <w:bookmarkStart w:id="38" w:name="_Toc68963465"/>
      <w:bookmarkStart w:id="39" w:name="_Toc10213431"/>
    </w:p>
    <w:p>
      <w:pPr>
        <w:pStyle w:val="3"/>
        <w:spacing w:line="480" w:lineRule="auto"/>
        <w:rPr>
          <w:rFonts w:ascii="微软雅黑" w:hAnsi="微软雅黑" w:eastAsia="微软雅黑"/>
          <w:color w:val="000000" w:themeColor="text1"/>
          <w:sz w:val="28"/>
          <w:szCs w:val="28"/>
          <w14:textFill>
            <w14:solidFill>
              <w14:schemeClr w14:val="tx1"/>
            </w14:solidFill>
          </w14:textFill>
        </w:rPr>
      </w:pPr>
      <w:bookmarkStart w:id="40" w:name="_Toc138"/>
      <w:r>
        <w:rPr>
          <w:rFonts w:hint="eastAsia" w:ascii="微软雅黑" w:hAnsi="微软雅黑" w:eastAsia="微软雅黑"/>
          <w:color w:val="000000" w:themeColor="text1"/>
          <w:sz w:val="28"/>
          <w:szCs w:val="28"/>
          <w14:textFill>
            <w14:solidFill>
              <w14:schemeClr w14:val="tx1"/>
            </w14:solidFill>
          </w14:textFill>
        </w:rPr>
        <w:t>五、比选与评</w:t>
      </w:r>
      <w:bookmarkEnd w:id="35"/>
      <w:bookmarkEnd w:id="36"/>
      <w:bookmarkEnd w:id="37"/>
      <w:bookmarkEnd w:id="38"/>
      <w:r>
        <w:rPr>
          <w:rFonts w:hint="eastAsia" w:ascii="微软雅黑" w:hAnsi="微软雅黑" w:eastAsia="微软雅黑"/>
          <w:color w:val="000000" w:themeColor="text1"/>
          <w:sz w:val="28"/>
          <w:szCs w:val="28"/>
          <w14:textFill>
            <w14:solidFill>
              <w14:schemeClr w14:val="tx1"/>
            </w14:solidFill>
          </w14:textFill>
        </w:rPr>
        <w:t>审</w:t>
      </w:r>
      <w:bookmarkEnd w:id="39"/>
      <w:bookmarkEnd w:id="40"/>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18.  比选</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18.1 采购人将按照比选邀请书及本须知前附表中规定的时间和地点举行比选会议。</w:t>
      </w:r>
    </w:p>
    <w:p>
      <w:pPr>
        <w:adjustRightInd w:val="0"/>
        <w:snapToGrid w:val="0"/>
        <w:spacing w:line="480" w:lineRule="exact"/>
        <w:ind w:left="420" w:left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18.</w:t>
      </w:r>
      <w:r>
        <w:rPr>
          <w:rFonts w:ascii="微软雅黑" w:hAnsi="微软雅黑" w:eastAsia="微软雅黑"/>
          <w:color w:val="000000" w:themeColor="text1"/>
          <w:szCs w:val="21"/>
          <w14:textFill>
            <w14:solidFill>
              <w14:schemeClr w14:val="tx1"/>
            </w14:solidFill>
          </w14:textFill>
        </w:rPr>
        <w:t>2按规定提交合格的撤回通知的比选响应文件不予开封，并退回给比选供应商。</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比选响应文件有下列情况之一的，采购人不予接受：</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1）比选响应文件逾期送达的；</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2）比选响应文件未进行密封的。</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18.</w:t>
      </w:r>
      <w:r>
        <w:rPr>
          <w:rFonts w:ascii="微软雅黑" w:hAnsi="微软雅黑" w:eastAsia="微软雅黑"/>
          <w:color w:val="000000" w:themeColor="text1"/>
          <w:szCs w:val="21"/>
          <w14:textFill>
            <w14:solidFill>
              <w14:schemeClr w14:val="tx1"/>
            </w14:solidFill>
          </w14:textFill>
        </w:rPr>
        <w:t>3</w:t>
      </w:r>
      <w:r>
        <w:rPr>
          <w:rFonts w:hint="eastAsia" w:ascii="微软雅黑" w:hAnsi="微软雅黑" w:eastAsia="微软雅黑"/>
          <w:color w:val="000000" w:themeColor="text1"/>
          <w:szCs w:val="21"/>
          <w14:textFill>
            <w14:solidFill>
              <w14:schemeClr w14:val="tx1"/>
            </w14:solidFill>
          </w14:textFill>
        </w:rPr>
        <w:t>比选程序：</w:t>
      </w:r>
    </w:p>
    <w:p>
      <w:pPr>
        <w:adjustRightInd w:val="0"/>
        <w:snapToGrid w:val="0"/>
        <w:spacing w:line="480" w:lineRule="exact"/>
        <w:ind w:left="900" w:hanging="42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1)</w:t>
      </w:r>
      <w:r>
        <w:rPr>
          <w:rFonts w:hint="eastAsia" w:ascii="微软雅黑" w:hAnsi="微软雅黑" w:eastAsia="微软雅黑"/>
          <w:color w:val="000000" w:themeColor="text1"/>
          <w:szCs w:val="21"/>
          <w14:textFill>
            <w14:solidFill>
              <w14:schemeClr w14:val="tx1"/>
            </w14:solidFill>
          </w14:textFill>
        </w:rPr>
        <w:t>比选会议将由采购人组织并主持；</w:t>
      </w:r>
    </w:p>
    <w:p>
      <w:pPr>
        <w:adjustRightInd w:val="0"/>
        <w:snapToGrid w:val="0"/>
        <w:spacing w:line="480" w:lineRule="exact"/>
        <w:ind w:left="900" w:hanging="42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2)</w:t>
      </w:r>
      <w:r>
        <w:rPr>
          <w:rFonts w:hint="eastAsia" w:ascii="微软雅黑" w:hAnsi="微软雅黑" w:eastAsia="微软雅黑"/>
          <w:color w:val="000000" w:themeColor="text1"/>
          <w:szCs w:val="21"/>
          <w14:textFill>
            <w14:solidFill>
              <w14:schemeClr w14:val="tx1"/>
            </w14:solidFill>
          </w14:textFill>
        </w:rPr>
        <w:t>监督人员将检查比选响应文件的密封情况；</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3)</w:t>
      </w:r>
      <w:r>
        <w:rPr>
          <w:rFonts w:hint="eastAsia" w:ascii="微软雅黑" w:hAnsi="微软雅黑" w:eastAsia="微软雅黑"/>
          <w:color w:val="000000" w:themeColor="text1"/>
          <w:szCs w:val="21"/>
          <w14:textFill>
            <w14:solidFill>
              <w14:schemeClr w14:val="tx1"/>
            </w14:solidFill>
          </w14:textFill>
        </w:rPr>
        <w:t>经确认无误，由工作人员当众拆封，宣读比选供应商名称、比选报价、修改内容（如有）以及采购人认为适当的其他内容；</w:t>
      </w:r>
    </w:p>
    <w:p>
      <w:pPr>
        <w:adjustRightInd w:val="0"/>
        <w:snapToGrid w:val="0"/>
        <w:spacing w:line="480" w:lineRule="exact"/>
        <w:ind w:left="900" w:hanging="42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4)</w:t>
      </w:r>
      <w:r>
        <w:rPr>
          <w:rFonts w:hint="eastAsia" w:ascii="微软雅黑" w:hAnsi="微软雅黑" w:eastAsia="微软雅黑"/>
          <w:color w:val="000000" w:themeColor="text1"/>
          <w:szCs w:val="21"/>
          <w14:textFill>
            <w14:solidFill>
              <w14:schemeClr w14:val="tx1"/>
            </w14:solidFill>
          </w14:textFill>
        </w:rPr>
        <w:t>按规定提交合格撤回通知的比选响应文件不予开封；</w:t>
      </w:r>
    </w:p>
    <w:p>
      <w:pPr>
        <w:adjustRightInd w:val="0"/>
        <w:snapToGrid w:val="0"/>
        <w:spacing w:line="480" w:lineRule="exact"/>
        <w:ind w:left="900" w:hanging="42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5)</w:t>
      </w:r>
      <w:r>
        <w:rPr>
          <w:rFonts w:hint="eastAsia" w:ascii="微软雅黑" w:hAnsi="微软雅黑" w:eastAsia="微软雅黑"/>
          <w:color w:val="000000" w:themeColor="text1"/>
          <w:szCs w:val="21"/>
          <w14:textFill>
            <w14:solidFill>
              <w14:schemeClr w14:val="tx1"/>
            </w14:solidFill>
          </w14:textFill>
        </w:rPr>
        <w:t>由采购人整理比选记录并由比选供应商代表现场签字确认。</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19. 评审小组与评审</w:t>
      </w:r>
    </w:p>
    <w:p>
      <w:pPr>
        <w:adjustRightInd w:val="0"/>
        <w:snapToGrid w:val="0"/>
        <w:spacing w:line="480" w:lineRule="exact"/>
        <w:ind w:left="420" w:left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19.1 采购人将按照</w:t>
      </w:r>
      <w:r>
        <w:rPr>
          <w:rFonts w:ascii="微软雅黑" w:hAnsi="微软雅黑" w:eastAsia="微软雅黑"/>
          <w:color w:val="000000" w:themeColor="text1"/>
          <w:szCs w:val="21"/>
          <w14:textFill>
            <w14:solidFill>
              <w14:schemeClr w14:val="tx1"/>
            </w14:solidFill>
          </w14:textFill>
        </w:rPr>
        <w:t>相关管理办法</w:t>
      </w:r>
      <w:r>
        <w:rPr>
          <w:rFonts w:hint="eastAsia" w:ascii="微软雅黑" w:hAnsi="微软雅黑" w:eastAsia="微软雅黑"/>
          <w:color w:val="000000" w:themeColor="text1"/>
          <w:szCs w:val="21"/>
          <w14:textFill>
            <w14:solidFill>
              <w14:schemeClr w14:val="tx1"/>
            </w14:solidFill>
          </w14:textFill>
        </w:rPr>
        <w:t>组建评审小组。</w:t>
      </w:r>
    </w:p>
    <w:p>
      <w:pPr>
        <w:adjustRightInd w:val="0"/>
        <w:snapToGrid w:val="0"/>
        <w:spacing w:line="480" w:lineRule="exact"/>
        <w:ind w:left="525" w:leftChars="200" w:hanging="105" w:hangingChars="5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19.2 评审由评审小组负责，对所有比选响应文件的评估都将采用相同的程序和标准。</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20. 初步审查</w:t>
      </w:r>
    </w:p>
    <w:p>
      <w:pPr>
        <w:adjustRightInd w:val="0"/>
        <w:snapToGrid w:val="0"/>
        <w:spacing w:line="480" w:lineRule="exact"/>
        <w:ind w:left="420" w:left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20.1 在比选采购中，出现下列情形之一的，应予拒绝：</w:t>
      </w:r>
    </w:p>
    <w:p>
      <w:pPr>
        <w:adjustRightInd w:val="0"/>
        <w:snapToGrid w:val="0"/>
        <w:spacing w:line="480" w:lineRule="exact"/>
        <w:ind w:left="470" w:leftChars="202" w:hanging="46" w:hangingChars="22"/>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1）出现影响采购公正的违法、违规行为的；</w:t>
      </w:r>
    </w:p>
    <w:p>
      <w:pPr>
        <w:adjustRightInd w:val="0"/>
        <w:snapToGrid w:val="0"/>
        <w:spacing w:line="480" w:lineRule="exact"/>
        <w:ind w:left="470" w:leftChars="202" w:hanging="46" w:hangingChars="22"/>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2）比选供应商的报价均超过了采购预算，采购人不能支付的。</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20.2 评审前，评审小组将审查每一比选响应文件是否对比选文件提出的所有实质性要求和条件做出响应，未能在实质性上响应的比选，将按无效处理。只有通过初步审查的比选响应文件才能进入下一步评审程序。</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20.3 评审小组根据比选文件要求，审查并逐项列出比选响应文件的全部偏差。下列情况属于重大偏差：</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1)</w:t>
      </w:r>
      <w:r>
        <w:rPr>
          <w:rFonts w:hint="eastAsia" w:ascii="微软雅黑" w:hAnsi="微软雅黑" w:eastAsia="微软雅黑"/>
          <w:color w:val="000000" w:themeColor="text1"/>
          <w:szCs w:val="21"/>
          <w14:textFill>
            <w14:solidFill>
              <w14:schemeClr w14:val="tx1"/>
            </w14:solidFill>
          </w14:textFill>
        </w:rPr>
        <w:t>比选响应文件内容不完整的；</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2)</w:t>
      </w:r>
      <w:r>
        <w:rPr>
          <w:rFonts w:hint="eastAsia" w:ascii="微软雅黑" w:hAnsi="微软雅黑" w:eastAsia="微软雅黑"/>
          <w:color w:val="000000" w:themeColor="text1"/>
          <w:szCs w:val="21"/>
          <w14:textFill>
            <w14:solidFill>
              <w14:schemeClr w14:val="tx1"/>
            </w14:solidFill>
          </w14:textFill>
        </w:rPr>
        <w:t>比选供应商资格不符合比选文件要求的；</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3)</w:t>
      </w:r>
      <w:r>
        <w:rPr>
          <w:rFonts w:hint="eastAsia" w:ascii="微软雅黑" w:hAnsi="微软雅黑" w:eastAsia="微软雅黑"/>
          <w:color w:val="000000" w:themeColor="text1"/>
          <w:szCs w:val="21"/>
          <w14:textFill>
            <w14:solidFill>
              <w14:schemeClr w14:val="tx1"/>
            </w14:solidFill>
          </w14:textFill>
        </w:rPr>
        <w:t>比选响应文件没有法定代表人或其授权代理人签字或加盖公章；</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4)</w:t>
      </w:r>
      <w:r>
        <w:rPr>
          <w:rFonts w:hint="eastAsia" w:ascii="微软雅黑" w:hAnsi="微软雅黑" w:eastAsia="微软雅黑"/>
          <w:color w:val="000000" w:themeColor="text1"/>
          <w:szCs w:val="21"/>
          <w14:textFill>
            <w14:solidFill>
              <w14:schemeClr w14:val="tx1"/>
            </w14:solidFill>
          </w14:textFill>
        </w:rPr>
        <w:t>比选响应文件中附有采购人不能接受的条件或对合同中约定的采购人和比选供应商的义务有重大的限制，且纠正这些偏差将会对其他实质上响应比选文件要求的比选供应商的竞争地位产生不公正的影响；</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5)</w:t>
      </w:r>
      <w:r>
        <w:rPr>
          <w:rFonts w:hint="eastAsia" w:ascii="微软雅黑" w:hAnsi="微软雅黑" w:eastAsia="微软雅黑"/>
          <w:color w:val="000000" w:themeColor="text1"/>
          <w:szCs w:val="21"/>
          <w14:textFill>
            <w14:solidFill>
              <w14:schemeClr w14:val="tx1"/>
            </w14:solidFill>
          </w14:textFill>
        </w:rPr>
        <w:t>不符合比选文件规定的其他实质性要求。</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相应比选文件有上述情形之一的，即构成未对比选文件做出实质性响应，将按无效处理，不允许比选供应商通过修改或撤消其不符合要求的偏差，使之成为具有响应性的比选。</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21．错误的修正</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21.1 对于实质上符合比选文件要求的比选响应文件，评审小组将对其报价进行校核，并对有算术性差错的给予修正。修正的原则为：</w:t>
      </w:r>
    </w:p>
    <w:p>
      <w:pPr>
        <w:numPr>
          <w:ilvl w:val="2"/>
          <w:numId w:val="0"/>
        </w:numPr>
        <w:adjustRightInd w:val="0"/>
        <w:snapToGrid w:val="0"/>
        <w:spacing w:line="480" w:lineRule="exact"/>
        <w:ind w:left="420" w:left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a)如果用数字表示的数额与用文字表示的数额不一致时，以文字数额为准。</w:t>
      </w:r>
    </w:p>
    <w:p>
      <w:pPr>
        <w:numPr>
          <w:ilvl w:val="2"/>
          <w:numId w:val="0"/>
        </w:numPr>
        <w:adjustRightInd w:val="0"/>
        <w:snapToGrid w:val="0"/>
        <w:spacing w:line="480" w:lineRule="exact"/>
        <w:ind w:left="420" w:left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b)当单价与数量的乘积与合价之间不一致时，通常以标出的单价为准。除非评审小组认为有明显的小数点错位，此时应以标出的合价为准，并修改单价。</w:t>
      </w:r>
    </w:p>
    <w:p>
      <w:pPr>
        <w:numPr>
          <w:ilvl w:val="2"/>
          <w:numId w:val="0"/>
        </w:numPr>
        <w:adjustRightInd w:val="0"/>
        <w:snapToGrid w:val="0"/>
        <w:spacing w:line="480" w:lineRule="exact"/>
        <w:ind w:left="420" w:left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c)当各细目的合价累计与总价不一致时，应以各细目合价累计数为准，修正总价。</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21.</w:t>
      </w:r>
      <w:r>
        <w:rPr>
          <w:rFonts w:ascii="微软雅黑" w:hAnsi="微软雅黑" w:eastAsia="微软雅黑"/>
          <w:color w:val="000000" w:themeColor="text1"/>
          <w:szCs w:val="21"/>
          <w14:textFill>
            <w14:solidFill>
              <w14:schemeClr w14:val="tx1"/>
            </w14:solidFill>
          </w14:textFill>
        </w:rPr>
        <w:t>2</w:t>
      </w:r>
      <w:r>
        <w:rPr>
          <w:rFonts w:hint="eastAsia" w:ascii="微软雅黑" w:hAnsi="微软雅黑" w:eastAsia="微软雅黑"/>
          <w:color w:val="000000" w:themeColor="text1"/>
          <w:szCs w:val="21"/>
          <w14:textFill>
            <w14:solidFill>
              <w14:schemeClr w14:val="tx1"/>
            </w14:solidFill>
          </w14:textFill>
        </w:rPr>
        <w:t>按以上原则对算术性差错的修正，应取得比选供应商的同意，并确认修正后的最终比选价。如果比选供应商拒绝确认，则其比选响应文件将不予评审，评审小组有权宣布其比选无效。</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21.3 评审小组发现比选供应商的报价明显低于其他比选报价，使得其比选报价可能低于其成本的，将要求该比选供应商做出书面说明并提供相关证明材料。比选供应商如不能合理说明或不能提供相关证明材料的，由评审小组认定该比选供应商以低于成本报价竞标，其比选将按无效处理。</w:t>
      </w:r>
    </w:p>
    <w:p>
      <w:pPr>
        <w:adjustRightInd w:val="0"/>
        <w:snapToGrid w:val="0"/>
        <w:spacing w:line="480" w:lineRule="exact"/>
        <w:ind w:left="494" w:leftChars="200" w:hanging="74" w:hangingChars="35"/>
        <w:rPr>
          <w:rFonts w:ascii="微软雅黑" w:hAnsi="微软雅黑" w:eastAsia="微软雅黑"/>
          <w:b/>
          <w:bCs/>
          <w:color w:val="000000" w:themeColor="text1"/>
          <w:szCs w:val="21"/>
          <w14:textFill>
            <w14:solidFill>
              <w14:schemeClr w14:val="tx1"/>
            </w14:solidFill>
          </w14:textFill>
        </w:rPr>
      </w:pPr>
      <w:r>
        <w:rPr>
          <w:rFonts w:ascii="微软雅黑" w:hAnsi="微软雅黑" w:eastAsia="微软雅黑"/>
          <w:b/>
          <w:bCs/>
          <w:color w:val="000000" w:themeColor="text1"/>
          <w:szCs w:val="21"/>
          <w14:textFill>
            <w14:solidFill>
              <w14:schemeClr w14:val="tx1"/>
            </w14:solidFill>
          </w14:textFill>
        </w:rPr>
        <w:t>22．</w:t>
      </w:r>
      <w:r>
        <w:rPr>
          <w:rFonts w:hint="eastAsia" w:ascii="微软雅黑" w:hAnsi="微软雅黑" w:eastAsia="微软雅黑"/>
          <w:b/>
          <w:bCs/>
          <w:color w:val="000000" w:themeColor="text1"/>
          <w:szCs w:val="21"/>
          <w14:textFill>
            <w14:solidFill>
              <w14:schemeClr w14:val="tx1"/>
            </w14:solidFill>
          </w14:textFill>
        </w:rPr>
        <w:t>比选响应文件的澄清</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评审阶段，评审小组认为需要时，可要求比选供应商现场澄清其比选响应文件中的问题，或者要求补充某些资料，对此，比选供应商不得拒绝。</w:t>
      </w:r>
    </w:p>
    <w:p>
      <w:pPr>
        <w:adjustRightInd w:val="0"/>
        <w:snapToGrid w:val="0"/>
        <w:spacing w:line="480" w:lineRule="exact"/>
        <w:ind w:firstLine="420" w:firstLineChars="200"/>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23．比选响应文件的评价与比较</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23．1 本项目采用最低评标法进行评审，具体评审办法及标准详见第六章。</w:t>
      </w:r>
    </w:p>
    <w:p>
      <w:pPr>
        <w:adjustRightInd w:val="0"/>
        <w:snapToGrid w:val="0"/>
        <w:spacing w:line="480" w:lineRule="exact"/>
        <w:ind w:left="630" w:leftChars="200" w:hanging="210" w:hangingChars="1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23．2 评审小组将根据各比选供应商报价推荐最低的单位为本项目的中选候选供应商。</w:t>
      </w:r>
    </w:p>
    <w:p>
      <w:pPr>
        <w:adjustRightInd w:val="0"/>
        <w:snapToGrid w:val="0"/>
        <w:spacing w:line="480" w:lineRule="exact"/>
        <w:ind w:left="630" w:hanging="630" w:hangingChars="300"/>
        <w:rPr>
          <w:rFonts w:ascii="微软雅黑" w:hAnsi="微软雅黑" w:eastAsia="微软雅黑"/>
          <w:color w:val="000000" w:themeColor="text1"/>
          <w:szCs w:val="21"/>
          <w14:textFill>
            <w14:solidFill>
              <w14:schemeClr w14:val="tx1"/>
            </w14:solidFill>
          </w14:textFill>
        </w:rPr>
      </w:pPr>
    </w:p>
    <w:p>
      <w:pPr>
        <w:rPr>
          <w:rFonts w:ascii="微软雅黑" w:hAnsi="微软雅黑" w:eastAsia="微软雅黑"/>
          <w:b/>
          <w:bCs/>
          <w:color w:val="000000" w:themeColor="text1"/>
          <w:sz w:val="28"/>
          <w:szCs w:val="28"/>
          <w14:textFill>
            <w14:solidFill>
              <w14:schemeClr w14:val="tx1"/>
            </w14:solidFill>
          </w14:textFill>
        </w:rPr>
      </w:pPr>
      <w:bookmarkStart w:id="41" w:name="_Toc24083815"/>
      <w:bookmarkStart w:id="42" w:name="_Toc24711813"/>
      <w:bookmarkStart w:id="43" w:name="_Toc10213432"/>
      <w:bookmarkStart w:id="44" w:name="_Toc24455235"/>
      <w:bookmarkStart w:id="45" w:name="_Toc33340840"/>
      <w:bookmarkStart w:id="46" w:name="_Toc68963466"/>
      <w:bookmarkStart w:id="47" w:name="_Toc24456368"/>
      <w:r>
        <w:rPr>
          <w:rFonts w:ascii="微软雅黑" w:hAnsi="微软雅黑" w:eastAsia="微软雅黑"/>
          <w:color w:val="000000" w:themeColor="text1"/>
          <w:sz w:val="28"/>
          <w:szCs w:val="28"/>
          <w14:textFill>
            <w14:solidFill>
              <w14:schemeClr w14:val="tx1"/>
            </w14:solidFill>
          </w14:textFill>
        </w:rPr>
        <w:br w:type="page"/>
      </w:r>
    </w:p>
    <w:p>
      <w:pPr>
        <w:pStyle w:val="3"/>
        <w:spacing w:line="480" w:lineRule="auto"/>
        <w:rPr>
          <w:rFonts w:ascii="微软雅黑" w:hAnsi="微软雅黑" w:eastAsia="微软雅黑"/>
          <w:color w:val="000000" w:themeColor="text1"/>
          <w:sz w:val="28"/>
          <w:szCs w:val="28"/>
          <w14:textFill>
            <w14:solidFill>
              <w14:schemeClr w14:val="tx1"/>
            </w14:solidFill>
          </w14:textFill>
        </w:rPr>
      </w:pPr>
      <w:bookmarkStart w:id="48" w:name="_Toc19357"/>
      <w:r>
        <w:rPr>
          <w:rFonts w:hint="eastAsia" w:ascii="微软雅黑" w:hAnsi="微软雅黑" w:eastAsia="微软雅黑"/>
          <w:color w:val="000000" w:themeColor="text1"/>
          <w:sz w:val="28"/>
          <w:szCs w:val="28"/>
          <w14:textFill>
            <w14:solidFill>
              <w14:schemeClr w14:val="tx1"/>
            </w14:solidFill>
          </w14:textFill>
        </w:rPr>
        <w:t>六、合同的授予</w:t>
      </w:r>
      <w:bookmarkEnd w:id="41"/>
      <w:bookmarkEnd w:id="42"/>
      <w:bookmarkEnd w:id="43"/>
      <w:bookmarkEnd w:id="44"/>
      <w:bookmarkEnd w:id="45"/>
      <w:bookmarkEnd w:id="46"/>
      <w:bookmarkEnd w:id="47"/>
      <w:bookmarkEnd w:id="48"/>
    </w:p>
    <w:p>
      <w:pPr>
        <w:adjustRightInd w:val="0"/>
        <w:snapToGrid w:val="0"/>
        <w:spacing w:line="480" w:lineRule="exact"/>
        <w:ind w:firstLine="420" w:firstLineChars="200"/>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24. 合同授予的条件</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24.1 采购人将把合同授予按本须知第</w:t>
      </w:r>
      <w:r>
        <w:rPr>
          <w:rFonts w:hint="eastAsia" w:ascii="微软雅黑" w:hAnsi="微软雅黑" w:eastAsia="微软雅黑"/>
          <w:color w:val="000000" w:themeColor="text1"/>
          <w:szCs w:val="21"/>
          <w:u w:val="single"/>
          <w14:textFill>
            <w14:solidFill>
              <w14:schemeClr w14:val="tx1"/>
            </w14:solidFill>
          </w14:textFill>
        </w:rPr>
        <w:t>23</w:t>
      </w:r>
      <w:r>
        <w:rPr>
          <w:rFonts w:hint="eastAsia" w:ascii="微软雅黑" w:hAnsi="微软雅黑" w:eastAsia="微软雅黑"/>
          <w:color w:val="000000" w:themeColor="text1"/>
          <w:szCs w:val="21"/>
          <w14:textFill>
            <w14:solidFill>
              <w14:schemeClr w14:val="tx1"/>
            </w14:solidFill>
          </w14:textFill>
        </w:rPr>
        <w:t>条规定比选出的比选供应商。</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24.2 采购人不承诺将合同授予报价最低的比选供应商。</w:t>
      </w:r>
    </w:p>
    <w:p>
      <w:pPr>
        <w:adjustRightInd w:val="0"/>
        <w:snapToGrid w:val="0"/>
        <w:spacing w:line="480" w:lineRule="exact"/>
        <w:ind w:firstLine="420" w:firstLineChars="200"/>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25. 接受和拒绝比选的权利</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在中选通知书发出之前，采购人有权接受或拒绝任何比选，宣布无效或拒绝所有比选，并对由此而引起的对比选供应商的影响不承担责任，也不解释原因。</w:t>
      </w:r>
    </w:p>
    <w:p>
      <w:pPr>
        <w:adjustRightInd w:val="0"/>
        <w:snapToGrid w:val="0"/>
        <w:spacing w:line="480" w:lineRule="exact"/>
        <w:ind w:left="494" w:leftChars="200" w:hanging="74" w:hangingChars="35"/>
        <w:rPr>
          <w:rFonts w:ascii="微软雅黑" w:hAnsi="微软雅黑" w:eastAsia="微软雅黑"/>
          <w:b/>
          <w:color w:val="000000" w:themeColor="text1"/>
          <w:szCs w:val="21"/>
          <w14:textFill>
            <w14:solidFill>
              <w14:schemeClr w14:val="tx1"/>
            </w14:solidFill>
          </w14:textFill>
        </w:rPr>
      </w:pPr>
      <w:r>
        <w:rPr>
          <w:rFonts w:ascii="微软雅黑" w:hAnsi="微软雅黑" w:eastAsia="微软雅黑"/>
          <w:b/>
          <w:color w:val="000000" w:themeColor="text1"/>
          <w:szCs w:val="21"/>
          <w14:textFill>
            <w14:solidFill>
              <w14:schemeClr w14:val="tx1"/>
            </w14:solidFill>
          </w14:textFill>
        </w:rPr>
        <w:t>26．</w:t>
      </w:r>
      <w:r>
        <w:rPr>
          <w:rFonts w:hint="eastAsia" w:ascii="微软雅黑" w:hAnsi="微软雅黑" w:eastAsia="微软雅黑"/>
          <w:b/>
          <w:color w:val="000000" w:themeColor="text1"/>
          <w:szCs w:val="21"/>
          <w14:textFill>
            <w14:solidFill>
              <w14:schemeClr w14:val="tx1"/>
            </w14:solidFill>
          </w14:textFill>
        </w:rPr>
        <w:t>中选通知书</w:t>
      </w:r>
    </w:p>
    <w:p>
      <w:pPr>
        <w:adjustRightInd w:val="0"/>
        <w:snapToGrid w:val="0"/>
        <w:spacing w:line="480" w:lineRule="exact"/>
        <w:ind w:left="525" w:leftChars="200" w:hanging="105" w:hangingChars="5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26.1 评审结束后，采购人在比选响应文件有效期截止前向中选供应商发出《中选通知书》。</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26.2 《中选通知书》是合同文件的组成部分。</w:t>
      </w:r>
    </w:p>
    <w:p>
      <w:pPr>
        <w:adjustRightInd w:val="0"/>
        <w:snapToGrid w:val="0"/>
        <w:spacing w:line="480" w:lineRule="exact"/>
        <w:ind w:left="494" w:leftChars="200" w:hanging="74" w:hangingChars="35"/>
        <w:rPr>
          <w:rFonts w:ascii="微软雅黑" w:hAnsi="微软雅黑" w:eastAsia="微软雅黑"/>
          <w:b/>
          <w:bCs/>
          <w:color w:val="000000" w:themeColor="text1"/>
          <w:szCs w:val="21"/>
          <w14:textFill>
            <w14:solidFill>
              <w14:schemeClr w14:val="tx1"/>
            </w14:solidFill>
          </w14:textFill>
        </w:rPr>
      </w:pPr>
      <w:r>
        <w:rPr>
          <w:rFonts w:ascii="微软雅黑" w:hAnsi="微软雅黑" w:eastAsia="微软雅黑"/>
          <w:b/>
          <w:bCs/>
          <w:color w:val="000000" w:themeColor="text1"/>
          <w:szCs w:val="21"/>
          <w14:textFill>
            <w14:solidFill>
              <w14:schemeClr w14:val="tx1"/>
            </w14:solidFill>
          </w14:textFill>
        </w:rPr>
        <w:t>27．</w:t>
      </w:r>
      <w:r>
        <w:rPr>
          <w:rFonts w:hint="eastAsia" w:ascii="微软雅黑" w:hAnsi="微软雅黑" w:eastAsia="微软雅黑"/>
          <w:b/>
          <w:bCs/>
          <w:color w:val="000000" w:themeColor="text1"/>
          <w:szCs w:val="21"/>
          <w14:textFill>
            <w14:solidFill>
              <w14:schemeClr w14:val="tx1"/>
            </w14:solidFill>
          </w14:textFill>
        </w:rPr>
        <w:t>签订合同</w:t>
      </w:r>
    </w:p>
    <w:p>
      <w:pPr>
        <w:adjustRightInd w:val="0"/>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27.1 中选供应商根据比选文件和中选人的比选响应文件与采购人签订项目合同，采购人和中选供应商不得另行订立背离合同实质性内容的其它协议。</w:t>
      </w:r>
    </w:p>
    <w:p>
      <w:pPr>
        <w:pStyle w:val="2"/>
        <w:keepLines w:val="0"/>
        <w:widowControl w:val="0"/>
        <w:tabs>
          <w:tab w:val="left" w:pos="1530"/>
          <w:tab w:val="left" w:pos="3360"/>
          <w:tab w:val="left" w:pos="8052"/>
        </w:tabs>
        <w:adjustRightInd/>
        <w:spacing w:line="480" w:lineRule="exact"/>
        <w:rPr>
          <w:rFonts w:ascii="微软雅黑" w:hAnsi="微软雅黑" w:eastAsia="微软雅黑" w:cs="宋体"/>
          <w:b w:val="0"/>
          <w:bCs w:val="0"/>
          <w:color w:val="000000" w:themeColor="text1"/>
          <w:kern w:val="0"/>
          <w:sz w:val="21"/>
          <w:szCs w:val="21"/>
          <w14:textFill>
            <w14:solidFill>
              <w14:schemeClr w14:val="tx1"/>
            </w14:solidFill>
          </w14:textFill>
        </w:rPr>
      </w:pPr>
      <w:r>
        <w:rPr>
          <w:rFonts w:ascii="微软雅黑" w:hAnsi="微软雅黑" w:eastAsia="微软雅黑" w:cs="宋体"/>
          <w:b w:val="0"/>
          <w:bCs w:val="0"/>
          <w:color w:val="000000" w:themeColor="text1"/>
          <w:kern w:val="0"/>
          <w:sz w:val="21"/>
          <w:szCs w:val="21"/>
          <w14:textFill>
            <w14:solidFill>
              <w14:schemeClr w14:val="tx1"/>
            </w14:solidFill>
          </w14:textFill>
        </w:rPr>
        <w:br w:type="page"/>
      </w:r>
      <w:bookmarkStart w:id="49" w:name="_Toc14093"/>
      <w:bookmarkStart w:id="50" w:name="_Toc68963468"/>
      <w:r>
        <w:rPr>
          <w:rFonts w:hint="eastAsia" w:ascii="微软雅黑" w:hAnsi="微软雅黑" w:eastAsia="微软雅黑" w:cs="宋体"/>
          <w:b w:val="0"/>
          <w:bCs w:val="0"/>
          <w:color w:val="000000" w:themeColor="text1"/>
          <w:kern w:val="0"/>
          <w:sz w:val="21"/>
          <w:szCs w:val="21"/>
          <w14:textFill>
            <w14:solidFill>
              <w14:schemeClr w14:val="tx1"/>
            </w14:solidFill>
          </w14:textFill>
        </w:rPr>
        <w:t>第三章合同格式</w:t>
      </w:r>
      <w:bookmarkEnd w:id="49"/>
    </w:p>
    <w:bookmarkEnd w:id="50"/>
    <w:p>
      <w:pPr>
        <w:adjustRightInd w:val="0"/>
        <w:snapToGrid w:val="0"/>
        <w:spacing w:line="480" w:lineRule="exact"/>
        <w:jc w:val="center"/>
        <w:rPr>
          <w:rFonts w:ascii="仿宋" w:hAnsi="仿宋" w:eastAsia="仿宋" w:cs="仿宋"/>
          <w:sz w:val="32"/>
          <w:szCs w:val="32"/>
        </w:rPr>
      </w:pPr>
      <w:bookmarkStart w:id="51" w:name="_Hlk58226073"/>
      <w:bookmarkStart w:id="52" w:name="_Hlk67411488"/>
      <w:r>
        <w:rPr>
          <w:rFonts w:hint="eastAsia" w:ascii="仿宋" w:hAnsi="仿宋" w:eastAsia="仿宋" w:cs="仿宋"/>
          <w:b/>
          <w:bCs/>
          <w:sz w:val="32"/>
          <w:szCs w:val="32"/>
        </w:rPr>
        <w:t>院本部部分实验室改造项目施工合同</w:t>
      </w:r>
    </w:p>
    <w:p>
      <w:pPr>
        <w:adjustRightInd w:val="0"/>
        <w:snapToGrid w:val="0"/>
        <w:spacing w:line="480" w:lineRule="exact"/>
        <w:ind w:firstLine="480" w:firstLineChars="200"/>
        <w:rPr>
          <w:rFonts w:ascii="仿宋" w:hAnsi="仿宋" w:eastAsia="仿宋" w:cs="仿宋"/>
          <w:sz w:val="24"/>
        </w:rPr>
      </w:pPr>
    </w:p>
    <w:p>
      <w:pPr>
        <w:spacing w:line="480" w:lineRule="exact"/>
        <w:ind w:firstLine="480" w:firstLineChars="200"/>
        <w:rPr>
          <w:rFonts w:ascii="仿宋" w:hAnsi="仿宋" w:eastAsia="仿宋" w:cs="仿宋"/>
          <w:sz w:val="24"/>
        </w:rPr>
      </w:pPr>
      <w:r>
        <w:rPr>
          <w:rFonts w:hint="eastAsia" w:ascii="仿宋" w:hAnsi="仿宋" w:eastAsia="仿宋" w:cs="仿宋"/>
          <w:sz w:val="24"/>
        </w:rPr>
        <w:t>建设单位：重庆市计量质量检测研究院       （以下简称甲方）</w:t>
      </w:r>
    </w:p>
    <w:p>
      <w:pPr>
        <w:spacing w:line="480" w:lineRule="exact"/>
        <w:ind w:firstLine="480" w:firstLineChars="200"/>
        <w:rPr>
          <w:rFonts w:ascii="仿宋" w:hAnsi="仿宋" w:eastAsia="仿宋" w:cs="仿宋"/>
          <w:sz w:val="24"/>
        </w:rPr>
      </w:pPr>
      <w:r>
        <w:rPr>
          <w:rFonts w:hint="eastAsia" w:ascii="仿宋" w:hAnsi="仿宋" w:eastAsia="仿宋" w:cs="仿宋"/>
          <w:sz w:val="24"/>
        </w:rPr>
        <w:t>施工单位：                               （以下简称乙方）</w:t>
      </w:r>
    </w:p>
    <w:p>
      <w:pPr>
        <w:spacing w:line="480" w:lineRule="exact"/>
        <w:rPr>
          <w:rFonts w:ascii="仿宋" w:hAnsi="仿宋" w:eastAsia="仿宋" w:cs="仿宋"/>
          <w:sz w:val="24"/>
        </w:rPr>
      </w:pPr>
    </w:p>
    <w:p>
      <w:pPr>
        <w:spacing w:line="480" w:lineRule="exact"/>
        <w:ind w:firstLine="480" w:firstLineChars="200"/>
        <w:rPr>
          <w:rFonts w:ascii="仿宋" w:hAnsi="仿宋" w:eastAsia="仿宋" w:cs="仿宋"/>
          <w:sz w:val="24"/>
        </w:rPr>
      </w:pPr>
      <w:r>
        <w:rPr>
          <w:rFonts w:hint="eastAsia" w:ascii="仿宋" w:hAnsi="仿宋" w:eastAsia="仿宋" w:cs="仿宋"/>
          <w:sz w:val="24"/>
        </w:rPr>
        <w:t>甲乙双方依据《中华人民共和国民法典》《中华人民共和国建筑法》及其他相关法律、行政法规，遵循平等、自愿、公平和诚实信用的原则，结合本工程具体情况签订本合同。</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一、项目概况</w:t>
      </w:r>
    </w:p>
    <w:p>
      <w:pPr>
        <w:spacing w:line="480" w:lineRule="exact"/>
        <w:ind w:firstLine="480" w:firstLineChars="200"/>
        <w:rPr>
          <w:rFonts w:ascii="仿宋" w:hAnsi="仿宋" w:eastAsia="仿宋" w:cs="仿宋"/>
          <w:sz w:val="24"/>
        </w:rPr>
      </w:pPr>
      <w:r>
        <w:rPr>
          <w:rFonts w:hint="eastAsia" w:ascii="仿宋" w:hAnsi="仿宋" w:eastAsia="仿宋" w:cs="仿宋"/>
          <w:sz w:val="24"/>
        </w:rPr>
        <w:t>1. 工程名称：院本部部分实验室改造项目</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2. 工程地点：渝北区杨柳北路1号、3号  </w:t>
      </w:r>
    </w:p>
    <w:p>
      <w:pPr>
        <w:spacing w:line="480" w:lineRule="exact"/>
        <w:ind w:firstLine="480" w:firstLineChars="200"/>
        <w:rPr>
          <w:rFonts w:ascii="仿宋" w:hAnsi="仿宋" w:eastAsia="仿宋" w:cs="仿宋"/>
          <w:sz w:val="24"/>
        </w:rPr>
      </w:pPr>
      <w:r>
        <w:rPr>
          <w:rFonts w:hint="eastAsia" w:ascii="仿宋" w:hAnsi="仿宋" w:eastAsia="仿宋" w:cs="仿宋"/>
          <w:sz w:val="24"/>
        </w:rPr>
        <w:t>3. 工程范围及内容：工程清单报价所含内容（附件1）</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二、合同工期及约定</w:t>
      </w:r>
    </w:p>
    <w:p>
      <w:pPr>
        <w:spacing w:line="480" w:lineRule="exact"/>
        <w:ind w:firstLine="480" w:firstLineChars="200"/>
        <w:rPr>
          <w:rFonts w:ascii="仿宋" w:hAnsi="仿宋" w:eastAsia="仿宋" w:cs="仿宋"/>
          <w:sz w:val="24"/>
        </w:rPr>
      </w:pPr>
      <w:r>
        <w:rPr>
          <w:rFonts w:hint="eastAsia" w:ascii="仿宋" w:hAnsi="仿宋" w:eastAsia="仿宋" w:cs="仿宋"/>
          <w:sz w:val="24"/>
        </w:rPr>
        <w:t>1.乙方在合同签订后  日内必须安排工程施工人员进场施工，本工程总工期为</w:t>
      </w:r>
      <w:r>
        <w:rPr>
          <w:rFonts w:hint="eastAsia" w:ascii="仿宋" w:hAnsi="仿宋" w:eastAsia="仿宋" w:cs="仿宋"/>
          <w:sz w:val="24"/>
          <w:lang w:val="en-US" w:eastAsia="zh-CN"/>
        </w:rPr>
        <w:t>25</w:t>
      </w:r>
      <w:r>
        <w:rPr>
          <w:rFonts w:hint="eastAsia" w:ascii="仿宋" w:hAnsi="仿宋" w:eastAsia="仿宋" w:cs="仿宋"/>
          <w:sz w:val="24"/>
        </w:rPr>
        <w:t>个日历天，开工日期以甲方通知为准。</w:t>
      </w:r>
    </w:p>
    <w:p>
      <w:pPr>
        <w:spacing w:line="480" w:lineRule="exact"/>
        <w:ind w:firstLine="480" w:firstLineChars="200"/>
        <w:rPr>
          <w:rFonts w:ascii="仿宋" w:hAnsi="仿宋" w:eastAsia="仿宋" w:cs="仿宋"/>
          <w:sz w:val="24"/>
        </w:rPr>
      </w:pPr>
      <w:r>
        <w:rPr>
          <w:rFonts w:hint="eastAsia" w:ascii="仿宋" w:hAnsi="仿宋" w:eastAsia="仿宋" w:cs="仿宋"/>
          <w:sz w:val="24"/>
        </w:rPr>
        <w:t>2. 因乙方原因，中途无故停工，影响工期，工期不顺延。</w:t>
      </w:r>
    </w:p>
    <w:p>
      <w:pPr>
        <w:spacing w:line="480" w:lineRule="exact"/>
        <w:ind w:firstLine="480" w:firstLineChars="200"/>
        <w:rPr>
          <w:rFonts w:ascii="仿宋" w:hAnsi="仿宋" w:eastAsia="仿宋" w:cs="仿宋"/>
          <w:sz w:val="24"/>
        </w:rPr>
      </w:pPr>
      <w:r>
        <w:rPr>
          <w:rFonts w:hint="eastAsia" w:ascii="仿宋" w:hAnsi="仿宋" w:eastAsia="仿宋" w:cs="仿宋"/>
          <w:sz w:val="24"/>
        </w:rPr>
        <w:t>3. 因设计变更或非乙方原因造成的停电、停水、停气及不可抗力因素影响（如雨天等），导致停工8小时以上（一周内累计计算），工期相应顺延。</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三、质量标准工程质量标准</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达到设计要求及国家现行有关施工质量验收规范要求，并达到合格标准，一次性验收合格。 </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四、结算方式</w:t>
      </w:r>
    </w:p>
    <w:p>
      <w:pPr>
        <w:spacing w:line="480" w:lineRule="exact"/>
        <w:ind w:firstLine="480" w:firstLineChars="200"/>
        <w:rPr>
          <w:rFonts w:ascii="仿宋" w:hAnsi="仿宋" w:eastAsia="仿宋" w:cs="仿宋"/>
          <w:sz w:val="24"/>
        </w:rPr>
      </w:pPr>
      <w:r>
        <w:rPr>
          <w:rFonts w:hint="eastAsia" w:ascii="仿宋" w:hAnsi="仿宋" w:eastAsia="仿宋" w:cs="仿宋"/>
          <w:sz w:val="24"/>
        </w:rPr>
        <w:t>1. 工程结算：结算总价=中标价，本合同价不因清单项增减、工程量增减、清单项目特征调整、施工措施改变、环保要求等所有事项而调整。</w:t>
      </w:r>
    </w:p>
    <w:p>
      <w:pPr>
        <w:spacing w:line="480" w:lineRule="exact"/>
        <w:ind w:firstLine="480" w:firstLineChars="200"/>
        <w:rPr>
          <w:rFonts w:ascii="仿宋" w:hAnsi="仿宋" w:eastAsia="仿宋" w:cs="仿宋"/>
          <w:sz w:val="24"/>
        </w:rPr>
      </w:pPr>
      <w:r>
        <w:rPr>
          <w:rFonts w:hint="eastAsia" w:ascii="仿宋" w:hAnsi="仿宋" w:eastAsia="仿宋" w:cs="仿宋"/>
          <w:sz w:val="24"/>
        </w:rPr>
        <w:t>2. 本合同价款：采用固定总价合同包干。合同总价（含税）为人民币：XXX元整（大写：XXX整），其中不含税金额XXX元，税率X%，税额XXX元。</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五、工程款支付</w:t>
      </w:r>
    </w:p>
    <w:p>
      <w:pPr>
        <w:spacing w:line="480" w:lineRule="exact"/>
        <w:ind w:firstLine="480" w:firstLineChars="200"/>
        <w:rPr>
          <w:rFonts w:ascii="仿宋" w:hAnsi="仿宋" w:eastAsia="仿宋"/>
          <w:bCs/>
          <w:sz w:val="24"/>
        </w:rPr>
      </w:pPr>
      <w:r>
        <w:rPr>
          <w:rFonts w:hint="eastAsia" w:ascii="仿宋" w:hAnsi="仿宋" w:eastAsia="仿宋" w:cs="仿宋"/>
          <w:sz w:val="24"/>
        </w:rPr>
        <w:t>1.工程完工验收合格后10日内，</w:t>
      </w:r>
      <w:r>
        <w:rPr>
          <w:rFonts w:hint="eastAsia" w:ascii="仿宋" w:hAnsi="仿宋" w:eastAsia="仿宋"/>
          <w:color w:val="000000"/>
          <w:sz w:val="24"/>
        </w:rPr>
        <w:t>乙方</w:t>
      </w:r>
      <w:r>
        <w:rPr>
          <w:rFonts w:hint="eastAsia" w:ascii="仿宋" w:hAnsi="仿宋" w:eastAsia="仿宋"/>
          <w:bCs/>
          <w:sz w:val="24"/>
        </w:rPr>
        <w:t>按合同总额的3%向甲方缴纳质量保证金。</w:t>
      </w:r>
    </w:p>
    <w:p>
      <w:pPr>
        <w:spacing w:line="480" w:lineRule="exact"/>
        <w:ind w:firstLine="480" w:firstLineChars="200"/>
        <w:rPr>
          <w:rFonts w:ascii="仿宋" w:hAnsi="仿宋" w:eastAsia="仿宋" w:cs="仿宋"/>
          <w:sz w:val="24"/>
        </w:rPr>
      </w:pPr>
      <w:r>
        <w:rPr>
          <w:rFonts w:hint="eastAsia" w:ascii="仿宋" w:hAnsi="仿宋" w:eastAsia="仿宋" w:cs="仿宋"/>
          <w:sz w:val="24"/>
        </w:rPr>
        <w:t>2.乙方向甲方提供竣工验收资料、增值税专用发票、质保金缴纳凭证等资料，向甲方申请付款。乙方应提供真实合法有效的发票，若因自身原因或者所开票据本身之问题造成甲方日后发生税收风险而产生的经济损失，应由乙方承担，甲方有权进一步提起法律诉讼权利。</w:t>
      </w:r>
    </w:p>
    <w:p>
      <w:pPr>
        <w:spacing w:line="480" w:lineRule="exact"/>
        <w:ind w:firstLine="480" w:firstLineChars="200"/>
        <w:rPr>
          <w:rFonts w:ascii="仿宋" w:hAnsi="仿宋" w:eastAsia="仿宋" w:cs="仿宋"/>
          <w:sz w:val="24"/>
        </w:rPr>
      </w:pPr>
      <w:r>
        <w:rPr>
          <w:rFonts w:hint="eastAsia" w:ascii="仿宋" w:hAnsi="仿宋" w:eastAsia="仿宋" w:cs="仿宋"/>
          <w:sz w:val="24"/>
        </w:rPr>
        <w:t>2. 甲方对乙方提交的付款资料审核通过后，在30个工作日内以转账方式向乙方支付合同全款。</w:t>
      </w:r>
    </w:p>
    <w:p>
      <w:pPr>
        <w:spacing w:line="480" w:lineRule="exact"/>
        <w:ind w:firstLine="480" w:firstLineChars="200"/>
        <w:rPr>
          <w:rFonts w:ascii="仿宋" w:hAnsi="仿宋" w:eastAsia="仿宋" w:cs="仿宋"/>
          <w:sz w:val="24"/>
        </w:rPr>
      </w:pPr>
      <w:r>
        <w:rPr>
          <w:rFonts w:hint="eastAsia" w:ascii="仿宋" w:hAnsi="仿宋" w:eastAsia="仿宋" w:cs="仿宋"/>
          <w:sz w:val="24"/>
        </w:rPr>
        <w:t>3. 本项目不预付工程款，也不支付工程进度款。本项目首先保证农民工工资不拖欠，供应商必须及时支付人工费、材料费等费用，如有投诉材料费、人工费未结清的情况，甲方有权暂停工程款支付，并有权在应付乙方的费用中用以解决属实的投诉纠纷。</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 xml:space="preserve">六、材料、设备、机具、脚手架 </w:t>
      </w:r>
    </w:p>
    <w:p>
      <w:pPr>
        <w:spacing w:line="480" w:lineRule="exact"/>
        <w:ind w:firstLine="480" w:firstLineChars="200"/>
        <w:rPr>
          <w:rFonts w:ascii="仿宋" w:hAnsi="仿宋" w:eastAsia="仿宋" w:cs="仿宋"/>
          <w:sz w:val="24"/>
        </w:rPr>
      </w:pPr>
      <w:r>
        <w:rPr>
          <w:rFonts w:hint="eastAsia" w:ascii="仿宋" w:hAnsi="仿宋" w:eastAsia="仿宋" w:cs="仿宋"/>
          <w:sz w:val="24"/>
        </w:rPr>
        <w:t>本合同采取合同约定形式为乙方包工、包料形式，施工所需基础材料，设备、机具、脚手架、高空作业设施的全部费用由乙方自行解决。</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 xml:space="preserve">七、甲方权利和义务 </w:t>
      </w:r>
    </w:p>
    <w:p>
      <w:pPr>
        <w:spacing w:line="480" w:lineRule="exact"/>
        <w:ind w:firstLine="480" w:firstLineChars="200"/>
        <w:rPr>
          <w:rFonts w:ascii="仿宋" w:hAnsi="仿宋" w:eastAsia="仿宋" w:cs="仿宋"/>
          <w:sz w:val="24"/>
        </w:rPr>
      </w:pPr>
      <w:r>
        <w:rPr>
          <w:rFonts w:hint="eastAsia" w:ascii="仿宋" w:hAnsi="仿宋" w:eastAsia="仿宋" w:cs="仿宋"/>
          <w:sz w:val="24"/>
        </w:rPr>
        <w:t>1. 与乙方进行现场技术交底。</w:t>
      </w:r>
    </w:p>
    <w:p>
      <w:pPr>
        <w:spacing w:line="480" w:lineRule="exact"/>
        <w:ind w:firstLine="480" w:firstLineChars="200"/>
        <w:rPr>
          <w:rFonts w:ascii="仿宋" w:hAnsi="仿宋" w:eastAsia="仿宋" w:cs="仿宋"/>
          <w:sz w:val="24"/>
        </w:rPr>
      </w:pPr>
      <w:r>
        <w:rPr>
          <w:rFonts w:hint="eastAsia" w:ascii="仿宋" w:hAnsi="仿宋" w:eastAsia="仿宋" w:cs="仿宋"/>
          <w:sz w:val="24"/>
        </w:rPr>
        <w:t>2. 为承包进场实施本工程配合好相应协调工作，并办理完善所有相关的施工手续，移交乙方施工。</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3. 定期对工程实施进展情况到工地进行检查。 </w:t>
      </w:r>
    </w:p>
    <w:p>
      <w:pPr>
        <w:spacing w:line="480" w:lineRule="exact"/>
        <w:ind w:firstLine="480" w:firstLineChars="200"/>
        <w:rPr>
          <w:rFonts w:ascii="仿宋" w:hAnsi="仿宋" w:eastAsia="仿宋" w:cs="仿宋"/>
          <w:sz w:val="24"/>
        </w:rPr>
      </w:pPr>
      <w:r>
        <w:rPr>
          <w:rFonts w:hint="eastAsia" w:ascii="仿宋" w:hAnsi="仿宋" w:eastAsia="仿宋" w:cs="仿宋"/>
          <w:sz w:val="24"/>
        </w:rPr>
        <w:t>4. 在工程实施过程中，若发现乙方违反合同条款规定或不按合同约定进行施工，甲方有权对乙方予以合同金额的20%违约金的经济处罚。</w:t>
      </w:r>
    </w:p>
    <w:p>
      <w:pPr>
        <w:spacing w:line="480" w:lineRule="exact"/>
        <w:ind w:firstLine="480" w:firstLineChars="200"/>
        <w:rPr>
          <w:rFonts w:ascii="仿宋" w:hAnsi="仿宋" w:eastAsia="仿宋" w:cs="仿宋"/>
          <w:sz w:val="24"/>
        </w:rPr>
      </w:pPr>
      <w:r>
        <w:rPr>
          <w:rFonts w:hint="eastAsia" w:ascii="仿宋" w:hAnsi="仿宋" w:eastAsia="仿宋" w:cs="仿宋"/>
          <w:sz w:val="24"/>
        </w:rPr>
        <w:t>5. 做好工程质量的检查验收工作。</w:t>
      </w:r>
    </w:p>
    <w:p>
      <w:pPr>
        <w:spacing w:line="480" w:lineRule="exact"/>
        <w:ind w:firstLine="480" w:firstLineChars="200"/>
        <w:rPr>
          <w:rFonts w:ascii="仿宋" w:hAnsi="仿宋" w:eastAsia="仿宋" w:cs="仿宋"/>
          <w:sz w:val="24"/>
        </w:rPr>
      </w:pPr>
      <w:r>
        <w:rPr>
          <w:rFonts w:hint="eastAsia" w:ascii="仿宋" w:hAnsi="仿宋" w:eastAsia="仿宋" w:cs="仿宋"/>
          <w:sz w:val="24"/>
        </w:rPr>
        <w:t>6. 督促乙方按本合同的内容要求，按期保质保量完成合同工程量。</w:t>
      </w:r>
    </w:p>
    <w:p>
      <w:pPr>
        <w:spacing w:line="480" w:lineRule="exact"/>
        <w:ind w:firstLine="480" w:firstLineChars="200"/>
        <w:rPr>
          <w:rFonts w:ascii="仿宋" w:hAnsi="仿宋" w:eastAsia="仿宋" w:cs="仿宋"/>
          <w:sz w:val="24"/>
        </w:rPr>
      </w:pPr>
      <w:r>
        <w:rPr>
          <w:rFonts w:hint="eastAsia" w:ascii="仿宋" w:hAnsi="仿宋" w:eastAsia="仿宋" w:cs="仿宋"/>
          <w:sz w:val="24"/>
        </w:rPr>
        <w:t>7. 甲方负责确保乙方正常的施工用水用电，施工产生的水电费用由甲方承担。但乙方应当节约用水用电，若发现乙方浪费水电的，施工产生的水电费用由乙方承担。</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8. 确保协调好各工种交叉作业工作。 </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 xml:space="preserve">八、乙方权利和义务 </w:t>
      </w:r>
    </w:p>
    <w:p>
      <w:pPr>
        <w:spacing w:line="480" w:lineRule="exact"/>
        <w:ind w:firstLine="480" w:firstLineChars="200"/>
        <w:rPr>
          <w:rFonts w:ascii="仿宋" w:hAnsi="仿宋" w:eastAsia="仿宋" w:cs="仿宋"/>
          <w:sz w:val="24"/>
        </w:rPr>
      </w:pPr>
      <w:r>
        <w:rPr>
          <w:rFonts w:hint="eastAsia" w:ascii="仿宋" w:hAnsi="仿宋" w:eastAsia="仿宋" w:cs="仿宋"/>
          <w:sz w:val="24"/>
        </w:rPr>
        <w:t>1. 根据甲方要求，完成相关工作内容，服从甲方的管理及检验程序要求。</w:t>
      </w:r>
    </w:p>
    <w:p>
      <w:pPr>
        <w:spacing w:line="480" w:lineRule="exact"/>
        <w:ind w:firstLine="480" w:firstLineChars="200"/>
        <w:rPr>
          <w:rFonts w:ascii="仿宋" w:hAnsi="仿宋" w:eastAsia="仿宋" w:cs="仿宋"/>
          <w:sz w:val="24"/>
        </w:rPr>
      </w:pPr>
      <w:r>
        <w:rPr>
          <w:rFonts w:hint="eastAsia" w:ascii="仿宋" w:hAnsi="仿宋" w:eastAsia="仿宋" w:cs="仿宋"/>
          <w:sz w:val="24"/>
        </w:rPr>
        <w:t>2. 根据工程需要，对施工现场及施工经过部位进行成品保护。</w:t>
      </w:r>
    </w:p>
    <w:p>
      <w:pPr>
        <w:spacing w:line="480" w:lineRule="exact"/>
        <w:ind w:firstLine="480" w:firstLineChars="200"/>
        <w:rPr>
          <w:rFonts w:ascii="仿宋" w:hAnsi="仿宋" w:eastAsia="仿宋" w:cs="仿宋"/>
          <w:sz w:val="24"/>
        </w:rPr>
      </w:pPr>
      <w:r>
        <w:rPr>
          <w:rFonts w:hint="eastAsia" w:ascii="仿宋" w:hAnsi="仿宋" w:eastAsia="仿宋" w:cs="仿宋"/>
          <w:sz w:val="24"/>
        </w:rPr>
        <w:t>3. 遵守业主施工场地交通、施工噪音以及环境保护和安全生产等管理规定。</w:t>
      </w:r>
    </w:p>
    <w:p>
      <w:pPr>
        <w:spacing w:line="480" w:lineRule="exact"/>
        <w:ind w:firstLine="480" w:firstLineChars="200"/>
        <w:rPr>
          <w:rFonts w:ascii="仿宋" w:hAnsi="仿宋" w:eastAsia="仿宋" w:cs="仿宋"/>
          <w:sz w:val="24"/>
        </w:rPr>
      </w:pPr>
      <w:r>
        <w:rPr>
          <w:rFonts w:hint="eastAsia" w:ascii="仿宋" w:hAnsi="仿宋" w:eastAsia="仿宋" w:cs="仿宋"/>
          <w:sz w:val="24"/>
        </w:rPr>
        <w:t>4. 保证施工场地清洁，交工前清理好施工现场。</w:t>
      </w:r>
    </w:p>
    <w:p>
      <w:pPr>
        <w:spacing w:line="480" w:lineRule="exact"/>
        <w:ind w:firstLine="480" w:firstLineChars="200"/>
        <w:rPr>
          <w:rFonts w:ascii="仿宋" w:hAnsi="仿宋" w:eastAsia="仿宋" w:cs="仿宋"/>
          <w:sz w:val="24"/>
        </w:rPr>
      </w:pPr>
      <w:r>
        <w:rPr>
          <w:rFonts w:hint="eastAsia" w:ascii="仿宋" w:hAnsi="仿宋" w:eastAsia="仿宋" w:cs="仿宋"/>
          <w:sz w:val="24"/>
        </w:rPr>
        <w:t>5. 在工程实施过程中，施工质量必须满足规程、规范和合同的规定和要求，因乙方原因达不到质量要求，由乙方承担拆除和重新施工的费用。</w:t>
      </w:r>
    </w:p>
    <w:p>
      <w:pPr>
        <w:spacing w:line="480" w:lineRule="exact"/>
        <w:ind w:firstLine="480" w:firstLineChars="200"/>
        <w:rPr>
          <w:rFonts w:ascii="仿宋" w:hAnsi="仿宋" w:eastAsia="仿宋" w:cs="仿宋"/>
          <w:sz w:val="24"/>
        </w:rPr>
      </w:pPr>
      <w:r>
        <w:rPr>
          <w:rFonts w:hint="eastAsia" w:ascii="仿宋" w:hAnsi="仿宋" w:eastAsia="仿宋" w:cs="仿宋"/>
          <w:sz w:val="24"/>
        </w:rPr>
        <w:t>6. 采购的本工程用材料必须符合设计和规范的要求，并经甲方确认后方可施工，否则造成的一切后果由乙方自行承担。</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7. 乙方在施工过程中应注意安全防范工作，严格执行行业安全操作规程，特别是高空作业人员必须采取安全保护措施，系牢安全保险绳方可施工。乙方在履行本合同过程中发生的包括但不限于乙方人员工伤或人身损害或财产损失、造成甲方或第三人人身损害或财产损失（包括诉讼损失）等事故均由乙方自行负责与解决，并由乙方自行承担所有的经济责任和法律责任（包括甲方诉讼费用），同时甲方有权终止本合同。 </w:t>
      </w:r>
    </w:p>
    <w:p>
      <w:pPr>
        <w:spacing w:line="480" w:lineRule="exact"/>
        <w:ind w:firstLine="480" w:firstLineChars="200"/>
        <w:rPr>
          <w:rFonts w:ascii="仿宋" w:hAnsi="仿宋" w:eastAsia="仿宋" w:cs="仿宋"/>
          <w:sz w:val="24"/>
        </w:rPr>
      </w:pPr>
      <w:r>
        <w:rPr>
          <w:rFonts w:hint="eastAsia" w:ascii="仿宋" w:hAnsi="仿宋" w:eastAsia="仿宋" w:cs="仿宋"/>
          <w:sz w:val="24"/>
        </w:rPr>
        <w:t>8.乙方在施工过程中应严格按照《建筑工程质量管理条例》及有关规定进行施工，承担该卫生间项目设施工程、房屋建筑的地基基础工程和主体结构工程永久安全使用责任。</w:t>
      </w:r>
    </w:p>
    <w:p>
      <w:pPr>
        <w:spacing w:line="480" w:lineRule="exact"/>
        <w:ind w:firstLine="480" w:firstLineChars="200"/>
        <w:rPr>
          <w:rFonts w:ascii="仿宋" w:hAnsi="仿宋" w:eastAsia="仿宋" w:cs="仿宋"/>
          <w:sz w:val="24"/>
        </w:rPr>
      </w:pPr>
      <w:r>
        <w:rPr>
          <w:rFonts w:hint="eastAsia" w:ascii="仿宋" w:hAnsi="仿宋" w:eastAsia="仿宋" w:cs="仿宋"/>
          <w:sz w:val="24"/>
        </w:rPr>
        <w:t>9. 合同解除或终止后，乙方的设施、设备及材料等应在3日内全部搬离，场地清洁。乙方逾期未搬离的，甲方有权任意处置，相关搬离、清洁等费用由乙方承担。</w:t>
      </w:r>
    </w:p>
    <w:p>
      <w:pPr>
        <w:spacing w:line="480" w:lineRule="exact"/>
        <w:ind w:firstLine="480" w:firstLineChars="200"/>
        <w:rPr>
          <w:rFonts w:ascii="仿宋" w:hAnsi="仿宋" w:eastAsia="仿宋" w:cs="仿宋"/>
          <w:sz w:val="24"/>
        </w:rPr>
      </w:pP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九、工程验收</w:t>
      </w:r>
    </w:p>
    <w:p>
      <w:pPr>
        <w:spacing w:line="480" w:lineRule="exact"/>
        <w:ind w:firstLine="480" w:firstLineChars="200"/>
        <w:rPr>
          <w:rFonts w:ascii="仿宋" w:hAnsi="仿宋" w:eastAsia="仿宋" w:cs="仿宋"/>
          <w:sz w:val="24"/>
        </w:rPr>
      </w:pPr>
      <w:r>
        <w:rPr>
          <w:rFonts w:hint="eastAsia" w:ascii="仿宋" w:hAnsi="仿宋" w:eastAsia="仿宋" w:cs="仿宋"/>
          <w:sz w:val="24"/>
        </w:rPr>
        <w:t>1. 乙方应遵循国家标准严格控制各工序的施工质量；按照国家有关标准、规范施工，随时接受甲方和监理检查，严格把控工程总体施工质量。</w:t>
      </w:r>
    </w:p>
    <w:p>
      <w:pPr>
        <w:spacing w:line="480" w:lineRule="exact"/>
        <w:ind w:firstLine="480" w:firstLineChars="200"/>
        <w:rPr>
          <w:rFonts w:ascii="仿宋" w:hAnsi="仿宋" w:eastAsia="仿宋" w:cs="仿宋"/>
          <w:sz w:val="24"/>
        </w:rPr>
      </w:pPr>
      <w:r>
        <w:rPr>
          <w:rFonts w:hint="eastAsia" w:ascii="仿宋" w:hAnsi="仿宋" w:eastAsia="仿宋" w:cs="仿宋"/>
          <w:sz w:val="24"/>
        </w:rPr>
        <w:t>2. 工程具备验收条件，乙方按国家工程竣工验收有关规定执行。工程竣工验收通过（需经甲方书面确认），甲方签认的竣工验收报告的日期为实际竣工日期。工程未经竣工验收或竣工验收未通过的，乙方不得将其交付甲方使用。</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 xml:space="preserve">十、工程保修 </w:t>
      </w:r>
    </w:p>
    <w:p>
      <w:pPr>
        <w:spacing w:line="480" w:lineRule="exact"/>
        <w:ind w:firstLine="480" w:firstLineChars="200"/>
        <w:rPr>
          <w:rFonts w:ascii="仿宋" w:hAnsi="仿宋" w:eastAsia="仿宋" w:cs="仿宋"/>
          <w:sz w:val="24"/>
        </w:rPr>
      </w:pPr>
      <w:r>
        <w:rPr>
          <w:rFonts w:hint="eastAsia" w:ascii="仿宋" w:hAnsi="仿宋" w:eastAsia="仿宋" w:cs="仿宋"/>
          <w:sz w:val="24"/>
        </w:rPr>
        <w:t>1. 本项目防水保修期为5年，其他保修期为2年，自项目验收合格并移交给甲方之日起计算。</w:t>
      </w:r>
      <w:r>
        <w:rPr>
          <w:rFonts w:hint="eastAsia" w:ascii="仿宋" w:hAnsi="仿宋" w:eastAsia="仿宋"/>
          <w:color w:val="000000"/>
          <w:sz w:val="24"/>
        </w:rPr>
        <w:t>施工方应按法律、法规和行业要求对在质保期内的工程承担免费保修责任。</w:t>
      </w:r>
    </w:p>
    <w:p>
      <w:pPr>
        <w:spacing w:line="480" w:lineRule="exact"/>
        <w:ind w:firstLine="480" w:firstLineChars="200"/>
        <w:rPr>
          <w:rFonts w:ascii="仿宋" w:hAnsi="仿宋" w:eastAsia="仿宋" w:cs="仿宋"/>
          <w:sz w:val="24"/>
        </w:rPr>
      </w:pPr>
      <w:r>
        <w:rPr>
          <w:rFonts w:hint="eastAsia" w:ascii="仿宋" w:hAnsi="仿宋" w:eastAsia="仿宋" w:cs="仿宋"/>
          <w:sz w:val="24"/>
        </w:rPr>
        <w:t>2. 保修期内，属于保修范围和内容的项目，甲方通知乙方履行质保责任后，乙方未在甲方规定时间内维修达到正常使用的，甲方有权另行委托他人进行维保，相关费用由乙方承担；保修费用从质量保证金内扣除，不足部分由乙方补足。</w:t>
      </w:r>
    </w:p>
    <w:p>
      <w:pPr>
        <w:spacing w:line="480" w:lineRule="exact"/>
        <w:ind w:firstLine="480" w:firstLineChars="200"/>
        <w:rPr>
          <w:rFonts w:ascii="仿宋" w:hAnsi="仿宋" w:eastAsia="仿宋" w:cs="仿宋"/>
          <w:sz w:val="24"/>
        </w:rPr>
      </w:pPr>
      <w:r>
        <w:rPr>
          <w:rFonts w:hint="eastAsia" w:ascii="仿宋" w:hAnsi="仿宋" w:eastAsia="仿宋" w:cs="仿宋"/>
          <w:sz w:val="24"/>
        </w:rPr>
        <w:t>3. 发生紧急抢修事故，乙方接到事故通知后，应立即到达现场抢修。</w:t>
      </w:r>
    </w:p>
    <w:p>
      <w:pPr>
        <w:spacing w:line="480" w:lineRule="exact"/>
        <w:ind w:firstLine="480" w:firstLineChars="200"/>
        <w:rPr>
          <w:rFonts w:ascii="仿宋" w:hAnsi="仿宋" w:eastAsia="仿宋" w:cs="仿宋"/>
          <w:sz w:val="24"/>
        </w:rPr>
      </w:pPr>
      <w:r>
        <w:rPr>
          <w:rFonts w:hint="eastAsia" w:ascii="仿宋" w:hAnsi="仿宋" w:eastAsia="仿宋" w:cs="仿宋"/>
          <w:sz w:val="24"/>
        </w:rPr>
        <w:t>4. 在国家规定的工程合理使用期限内，因乙方原因致使工程在合理使用期限内造成人身和财产损害的，乙方应承担损害赔偿责任。</w:t>
      </w:r>
    </w:p>
    <w:p>
      <w:pPr>
        <w:spacing w:line="480" w:lineRule="exact"/>
        <w:ind w:firstLine="480" w:firstLineChars="200"/>
        <w:rPr>
          <w:rFonts w:ascii="仿宋" w:hAnsi="仿宋" w:eastAsia="仿宋" w:cs="仿宋"/>
          <w:sz w:val="24"/>
        </w:rPr>
      </w:pPr>
      <w:r>
        <w:rPr>
          <w:rFonts w:hint="eastAsia" w:ascii="仿宋" w:hAnsi="仿宋" w:eastAsia="仿宋" w:cs="仿宋"/>
          <w:sz w:val="24"/>
        </w:rPr>
        <w:t>5. 质量保证金的支付。本工程约定的工程质量保证金为施工竣工结算价款的 3％。</w:t>
      </w:r>
    </w:p>
    <w:p>
      <w:pPr>
        <w:spacing w:line="480" w:lineRule="exact"/>
        <w:ind w:firstLine="480" w:firstLineChars="200"/>
        <w:rPr>
          <w:rFonts w:ascii="仿宋" w:hAnsi="仿宋" w:eastAsia="仿宋" w:cs="仿宋"/>
          <w:sz w:val="24"/>
        </w:rPr>
      </w:pPr>
      <w:r>
        <w:rPr>
          <w:rFonts w:hint="eastAsia" w:ascii="仿宋" w:hAnsi="仿宋" w:eastAsia="仿宋" w:cs="仿宋"/>
          <w:sz w:val="24"/>
        </w:rPr>
        <w:t>6. 质量保证金的返还。甲方在</w:t>
      </w:r>
      <w:r>
        <w:rPr>
          <w:rFonts w:hint="eastAsia" w:ascii="仿宋" w:hAnsi="仿宋" w:eastAsia="仿宋" w:cs="仿宋"/>
          <w:kern w:val="0"/>
          <w:sz w:val="24"/>
          <w:lang w:val="zh-TW"/>
        </w:rPr>
        <w:t>质保期</w:t>
      </w:r>
      <w:r>
        <w:rPr>
          <w:rFonts w:hint="eastAsia" w:ascii="仿宋" w:hAnsi="仿宋" w:eastAsia="仿宋" w:cs="仿宋"/>
          <w:sz w:val="24"/>
        </w:rPr>
        <w:t>满后（扣出应由乙方承担的所有费用后）将剩余保证金100％无息返还乙方。</w:t>
      </w:r>
    </w:p>
    <w:p>
      <w:pPr>
        <w:spacing w:line="480" w:lineRule="exact"/>
        <w:ind w:firstLine="482" w:firstLineChars="200"/>
        <w:rPr>
          <w:rFonts w:ascii="仿宋" w:hAnsi="仿宋" w:eastAsia="仿宋" w:cs="仿宋"/>
          <w:b/>
          <w:sz w:val="24"/>
        </w:rPr>
      </w:pPr>
      <w:r>
        <w:rPr>
          <w:rFonts w:hint="eastAsia" w:ascii="仿宋" w:hAnsi="仿宋" w:eastAsia="仿宋" w:cs="仿宋"/>
          <w:b/>
          <w:sz w:val="24"/>
        </w:rPr>
        <w:t xml:space="preserve">十一、违约责任 </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1. 乙方需按甲乙双方共同确定的施工进度计划保质保量地完成本工程，乙方未按照约定时间完成竣工验收的，每逾期一日，乙方应向甲方支付 1000 元/天作为违约金，并承担由此造成的损失，逾期超过 7 日的，甲方有权单方面解除本合同，甲方不承担任何违约责任，且乙方须按本合同总金额的20%向甲方支付违约金，同时乙方已完成合格工程按70%进行结算；违约金不足赔偿甲方损失的，甲方有权继续追偿。 </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2. 因乙方提供材料设备等不及时、不合格、不符合规定等，造成本工程返工、延期等的损失由乙方承担，给甲方造成损失的还应赔偿甲方损失。 </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3. 乙方因自身原因造成工期和工程质量达不到甲方和本合同要求，应承担违约责任，并赔偿由此造成的全部损失。 </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4. 因乙方违约致使甲方采取诉讼或仲裁方式主张权利的，乙方应当承担甲方为此支付的律师费、差旅费、保全费、执行费、公证费、诉讼费、鉴定费、评估费及其他实现债权的一切费用。 </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十二、送达地址</w:t>
      </w:r>
    </w:p>
    <w:p>
      <w:pPr>
        <w:spacing w:line="480" w:lineRule="exact"/>
        <w:ind w:firstLine="480" w:firstLineChars="200"/>
        <w:rPr>
          <w:rFonts w:ascii="仿宋" w:hAnsi="仿宋" w:eastAsia="仿宋" w:cs="仿宋"/>
          <w:sz w:val="24"/>
        </w:rPr>
      </w:pPr>
      <w:r>
        <w:rPr>
          <w:rFonts w:hint="eastAsia" w:ascii="仿宋" w:hAnsi="仿宋" w:eastAsia="仿宋" w:cs="仿宋"/>
          <w:sz w:val="24"/>
        </w:rPr>
        <w:t>本合同各方所署地址真实有效，一方（含法院等机关）按照该地址送达相关资料、文书、文件的，自邮寄之日起三个工作日内视为送达，若一方拒收，不影响送达的效力。一方地址若发生变更的，应在变更前3日内书面通知对方，否则，本合同所署地址仍为有效送达地址。本合同各方所署联系电话系实名电话，一方（含法院等机关）向该联系电话发送短信、微信、文书、通知等，一经发出即视为送达。</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十三、其他约定</w:t>
      </w:r>
    </w:p>
    <w:p>
      <w:pPr>
        <w:spacing w:line="480" w:lineRule="exact"/>
        <w:ind w:firstLine="480" w:firstLineChars="200"/>
        <w:rPr>
          <w:rFonts w:ascii="仿宋" w:hAnsi="仿宋" w:eastAsia="仿宋" w:cs="仿宋"/>
          <w:sz w:val="24"/>
        </w:rPr>
      </w:pPr>
      <w:r>
        <w:rPr>
          <w:rFonts w:hint="eastAsia" w:ascii="仿宋" w:hAnsi="仿宋" w:eastAsia="仿宋" w:cs="仿宋"/>
          <w:sz w:val="24"/>
        </w:rPr>
        <w:t>1. 乙方已经施工完毕的成品在未移交给甲方前若其他工种造成破坏损毁，由损毁方及乙方负责。</w:t>
      </w:r>
    </w:p>
    <w:p>
      <w:pPr>
        <w:spacing w:line="480" w:lineRule="exact"/>
        <w:ind w:firstLine="480" w:firstLineChars="200"/>
        <w:rPr>
          <w:rFonts w:ascii="仿宋" w:hAnsi="仿宋" w:eastAsia="仿宋" w:cs="仿宋"/>
          <w:sz w:val="24"/>
        </w:rPr>
      </w:pPr>
      <w:r>
        <w:rPr>
          <w:rFonts w:hint="eastAsia" w:ascii="仿宋" w:hAnsi="仿宋" w:eastAsia="仿宋" w:cs="仿宋"/>
          <w:sz w:val="24"/>
        </w:rPr>
        <w:t>2. 甲方若要求乙方超出合同约定范围的项目，乙方不得拒绝施工，但甲方应给予乙方增加费用。</w:t>
      </w:r>
    </w:p>
    <w:p>
      <w:pPr>
        <w:spacing w:line="480" w:lineRule="exact"/>
        <w:ind w:firstLine="480" w:firstLineChars="200"/>
        <w:rPr>
          <w:rFonts w:ascii="仿宋" w:hAnsi="仿宋" w:eastAsia="仿宋" w:cs="仿宋"/>
          <w:sz w:val="24"/>
        </w:rPr>
      </w:pPr>
      <w:r>
        <w:rPr>
          <w:rFonts w:hint="eastAsia" w:ascii="仿宋" w:hAnsi="仿宋" w:eastAsia="仿宋" w:cs="仿宋"/>
          <w:sz w:val="24"/>
        </w:rPr>
        <w:t>3. 双方一致认可，本合同与招标文书不一致的，以本合同为准。合同附件与本合同具有同等法律效力。</w:t>
      </w:r>
    </w:p>
    <w:p>
      <w:pPr>
        <w:spacing w:line="480" w:lineRule="exact"/>
        <w:ind w:firstLine="480" w:firstLineChars="200"/>
        <w:rPr>
          <w:rFonts w:ascii="仿宋" w:hAnsi="仿宋" w:eastAsia="仿宋" w:cs="仿宋"/>
          <w:sz w:val="24"/>
        </w:rPr>
      </w:pPr>
      <w:r>
        <w:rPr>
          <w:rFonts w:hint="eastAsia" w:ascii="仿宋" w:hAnsi="仿宋" w:eastAsia="仿宋" w:cs="仿宋"/>
          <w:sz w:val="24"/>
        </w:rPr>
        <w:t>4. 本合同附件《工程项目廉政合同》《安全责任协议书》是本合同的组成部分，与本合同具有同等法律效力。</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 xml:space="preserve">十四、合同争议的解决方式 </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1. 甲方、乙方在履行合同时发生争议，双方采取协商的办法进行解决。 </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2. 若双方发生争议协商解决不成的可向甲方所在地人民法院提起诉讼。 </w:t>
      </w:r>
    </w:p>
    <w:p>
      <w:pPr>
        <w:spacing w:line="480" w:lineRule="exact"/>
        <w:ind w:firstLine="482" w:firstLineChars="200"/>
        <w:rPr>
          <w:rFonts w:ascii="仿宋" w:hAnsi="仿宋" w:eastAsia="仿宋" w:cs="仿宋"/>
          <w:sz w:val="24"/>
        </w:rPr>
      </w:pPr>
      <w:r>
        <w:rPr>
          <w:rFonts w:hint="eastAsia" w:ascii="仿宋" w:hAnsi="仿宋" w:eastAsia="仿宋" w:cs="仿宋"/>
          <w:b/>
          <w:sz w:val="24"/>
        </w:rPr>
        <w:t>十五、合同份数、生效与终止</w:t>
      </w:r>
      <w:r>
        <w:rPr>
          <w:rFonts w:hint="eastAsia" w:ascii="仿宋" w:hAnsi="仿宋" w:eastAsia="仿宋" w:cs="仿宋"/>
          <w:sz w:val="24"/>
        </w:rPr>
        <w:t xml:space="preserve"> </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1. 本合同正本一式 肆 份，甲方 贰 份，乙方 贰 份。 </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2. 本合同经双方代表签字并加盖公章即日生效，保修条款履行完毕后自行终止。 </w:t>
      </w: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3. 本合同未尽事宜，双方另行协商确认并签订补充合同，与本合同有同等法律效力。 </w:t>
      </w:r>
    </w:p>
    <w:p>
      <w:pPr>
        <w:spacing w:line="480" w:lineRule="exact"/>
        <w:ind w:firstLine="480" w:firstLineChars="200"/>
        <w:rPr>
          <w:rFonts w:ascii="仿宋" w:hAnsi="仿宋" w:eastAsia="仿宋" w:cs="仿宋"/>
          <w:sz w:val="24"/>
        </w:rPr>
      </w:pPr>
      <w:r>
        <w:rPr>
          <w:rFonts w:hint="eastAsia" w:ascii="仿宋" w:hAnsi="仿宋" w:eastAsia="仿宋" w:cs="仿宋"/>
          <w:sz w:val="24"/>
        </w:rPr>
        <w:t>（以下无正文）</w:t>
      </w:r>
    </w:p>
    <w:p>
      <w:pPr>
        <w:spacing w:line="480" w:lineRule="exact"/>
        <w:ind w:firstLine="480" w:firstLineChars="200"/>
        <w:rPr>
          <w:rFonts w:ascii="仿宋" w:hAnsi="仿宋" w:eastAsia="仿宋" w:cs="仿宋"/>
          <w:sz w:val="24"/>
        </w:rPr>
      </w:pPr>
      <w:r>
        <w:rPr>
          <w:rFonts w:hint="eastAsia" w:ascii="仿宋" w:hAnsi="仿宋" w:eastAsia="仿宋" w:cs="仿宋"/>
          <w:sz w:val="24"/>
        </w:rPr>
        <w:t>附件：1院本部部分实验室改造项目清单</w:t>
      </w:r>
    </w:p>
    <w:p>
      <w:pPr>
        <w:spacing w:line="480" w:lineRule="exact"/>
        <w:ind w:firstLine="1200" w:firstLineChars="500"/>
        <w:rPr>
          <w:rFonts w:ascii="仿宋" w:hAnsi="仿宋" w:eastAsia="仿宋" w:cs="仿宋"/>
          <w:sz w:val="24"/>
        </w:rPr>
      </w:pPr>
      <w:r>
        <w:rPr>
          <w:rFonts w:hint="eastAsia" w:ascii="仿宋" w:hAnsi="仿宋" w:eastAsia="仿宋" w:cs="仿宋"/>
          <w:sz w:val="24"/>
        </w:rPr>
        <w:t>2.廉政合同</w:t>
      </w:r>
    </w:p>
    <w:p>
      <w:pPr>
        <w:spacing w:line="480" w:lineRule="exact"/>
        <w:ind w:firstLine="1200" w:firstLineChars="500"/>
        <w:rPr>
          <w:rFonts w:ascii="仿宋" w:hAnsi="仿宋" w:eastAsia="仿宋" w:cs="仿宋"/>
          <w:sz w:val="24"/>
        </w:rPr>
      </w:pPr>
      <w:r>
        <w:rPr>
          <w:rFonts w:hint="eastAsia" w:ascii="仿宋" w:hAnsi="仿宋" w:eastAsia="仿宋" w:cs="仿宋"/>
          <w:sz w:val="24"/>
        </w:rPr>
        <w:t>3.安全协议</w:t>
      </w:r>
    </w:p>
    <w:p>
      <w:pPr>
        <w:spacing w:line="480" w:lineRule="exact"/>
        <w:jc w:val="center"/>
        <w:rPr>
          <w:rFonts w:ascii="仿宋" w:hAnsi="仿宋" w:eastAsia="仿宋" w:cs="仿宋"/>
          <w:sz w:val="24"/>
        </w:rPr>
      </w:pPr>
      <w:r>
        <w:rPr>
          <w:rFonts w:hint="eastAsia" w:ascii="仿宋" w:hAnsi="仿宋" w:eastAsia="仿宋" w:cs="仿宋"/>
          <w:sz w:val="24"/>
        </w:rPr>
        <w:t>（合同签署栏）</w:t>
      </w:r>
    </w:p>
    <w:tbl>
      <w:tblPr>
        <w:tblStyle w:val="39"/>
        <w:tblW w:w="9599" w:type="dxa"/>
        <w:jc w:val="center"/>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4680"/>
        <w:gridCol w:w="4919"/>
      </w:tblGrid>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90" w:hRule="atLeast"/>
          <w:jc w:val="center"/>
        </w:trPr>
        <w:tc>
          <w:tcPr>
            <w:tcW w:w="4680" w:type="dxa"/>
          </w:tcPr>
          <w:p>
            <w:pPr>
              <w:spacing w:line="480" w:lineRule="exact"/>
              <w:rPr>
                <w:rFonts w:ascii="仿宋" w:hAnsi="仿宋" w:eastAsia="仿宋" w:cs="仿宋"/>
                <w:sz w:val="24"/>
              </w:rPr>
            </w:pPr>
            <w:r>
              <w:rPr>
                <w:rFonts w:hint="eastAsia" w:ascii="仿宋" w:hAnsi="仿宋" w:eastAsia="仿宋" w:cs="仿宋"/>
                <w:sz w:val="24"/>
              </w:rPr>
              <w:t>甲方（盖章）：重庆市计量质量检测研究院</w:t>
            </w:r>
          </w:p>
          <w:p>
            <w:pPr>
              <w:spacing w:line="480" w:lineRule="exact"/>
              <w:rPr>
                <w:rFonts w:ascii="仿宋" w:hAnsi="仿宋" w:eastAsia="仿宋" w:cs="仿宋"/>
                <w:sz w:val="24"/>
              </w:rPr>
            </w:pPr>
            <w:r>
              <w:rPr>
                <w:rFonts w:hint="eastAsia" w:ascii="仿宋" w:hAnsi="仿宋" w:eastAsia="仿宋" w:cs="仿宋"/>
                <w:sz w:val="24"/>
              </w:rPr>
              <w:t>地址：重庆市渝北区杨柳北路1号</w:t>
            </w:r>
          </w:p>
          <w:p>
            <w:pPr>
              <w:spacing w:line="480" w:lineRule="exact"/>
              <w:rPr>
                <w:rFonts w:ascii="仿宋" w:hAnsi="仿宋" w:eastAsia="仿宋" w:cs="仿宋"/>
                <w:sz w:val="24"/>
              </w:rPr>
            </w:pPr>
          </w:p>
          <w:p>
            <w:pPr>
              <w:spacing w:line="480" w:lineRule="exact"/>
              <w:rPr>
                <w:rFonts w:ascii="仿宋" w:hAnsi="仿宋" w:eastAsia="仿宋" w:cs="仿宋"/>
                <w:sz w:val="24"/>
              </w:rPr>
            </w:pPr>
            <w:r>
              <w:rPr>
                <w:rFonts w:hint="eastAsia" w:ascii="仿宋" w:hAnsi="仿宋" w:eastAsia="仿宋" w:cs="仿宋"/>
                <w:sz w:val="24"/>
              </w:rPr>
              <w:t>法定代表人：吴先哲</w:t>
            </w:r>
          </w:p>
          <w:p>
            <w:pPr>
              <w:spacing w:line="480" w:lineRule="exact"/>
              <w:rPr>
                <w:rFonts w:ascii="仿宋" w:hAnsi="仿宋" w:eastAsia="仿宋" w:cs="仿宋"/>
                <w:sz w:val="24"/>
              </w:rPr>
            </w:pPr>
            <w:r>
              <w:rPr>
                <w:rFonts w:hint="eastAsia" w:ascii="仿宋" w:hAnsi="仿宋" w:eastAsia="仿宋" w:cs="仿宋"/>
                <w:sz w:val="24"/>
              </w:rPr>
              <w:t>委托代理人：</w:t>
            </w:r>
          </w:p>
          <w:p>
            <w:pPr>
              <w:spacing w:line="480" w:lineRule="exact"/>
              <w:rPr>
                <w:rFonts w:ascii="仿宋" w:hAnsi="仿宋" w:eastAsia="仿宋" w:cs="仿宋"/>
                <w:sz w:val="24"/>
              </w:rPr>
            </w:pPr>
            <w:r>
              <w:rPr>
                <w:rFonts w:hint="eastAsia" w:ascii="仿宋" w:hAnsi="仿宋" w:eastAsia="仿宋" w:cs="仿宋"/>
                <w:sz w:val="24"/>
              </w:rPr>
              <w:t>电    话：023-89232162</w:t>
            </w:r>
          </w:p>
        </w:tc>
        <w:tc>
          <w:tcPr>
            <w:tcW w:w="4919" w:type="dxa"/>
          </w:tcPr>
          <w:p>
            <w:pPr>
              <w:spacing w:line="480" w:lineRule="exact"/>
              <w:rPr>
                <w:rFonts w:ascii="仿宋" w:hAnsi="仿宋" w:eastAsia="仿宋" w:cs="仿宋"/>
                <w:sz w:val="24"/>
              </w:rPr>
            </w:pPr>
            <w:r>
              <w:rPr>
                <w:rFonts w:hint="eastAsia" w:ascii="仿宋" w:hAnsi="仿宋" w:eastAsia="仿宋" w:cs="仿宋"/>
                <w:sz w:val="24"/>
              </w:rPr>
              <w:t>乙方（盖章）：                           地址：</w:t>
            </w:r>
          </w:p>
          <w:p>
            <w:pPr>
              <w:spacing w:line="480" w:lineRule="exact"/>
              <w:rPr>
                <w:rFonts w:ascii="仿宋" w:hAnsi="仿宋" w:eastAsia="仿宋" w:cs="仿宋"/>
                <w:sz w:val="24"/>
              </w:rPr>
            </w:pPr>
            <w:r>
              <w:rPr>
                <w:rFonts w:hint="eastAsia" w:ascii="仿宋" w:hAnsi="仿宋" w:eastAsia="仿宋" w:cs="仿宋"/>
                <w:sz w:val="24"/>
              </w:rPr>
              <w:t>法定代表人：</w:t>
            </w:r>
          </w:p>
          <w:p>
            <w:pPr>
              <w:spacing w:line="480" w:lineRule="exact"/>
              <w:rPr>
                <w:rFonts w:ascii="仿宋" w:hAnsi="仿宋" w:eastAsia="仿宋" w:cs="仿宋"/>
                <w:sz w:val="24"/>
              </w:rPr>
            </w:pPr>
            <w:r>
              <w:rPr>
                <w:rFonts w:hint="eastAsia" w:ascii="仿宋" w:hAnsi="仿宋" w:eastAsia="仿宋" w:cs="仿宋"/>
                <w:sz w:val="24"/>
              </w:rPr>
              <w:t>委托代理人：</w:t>
            </w:r>
          </w:p>
          <w:p>
            <w:pPr>
              <w:spacing w:line="480" w:lineRule="exact"/>
              <w:rPr>
                <w:rFonts w:ascii="仿宋" w:hAnsi="仿宋" w:eastAsia="仿宋" w:cs="仿宋"/>
                <w:sz w:val="24"/>
              </w:rPr>
            </w:pPr>
            <w:r>
              <w:rPr>
                <w:rFonts w:hint="eastAsia" w:ascii="仿宋" w:hAnsi="仿宋" w:eastAsia="仿宋" w:cs="仿宋"/>
                <w:sz w:val="24"/>
              </w:rPr>
              <w:t>电    话：023-42893166</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1975" w:hRule="atLeast"/>
          <w:jc w:val="center"/>
        </w:trPr>
        <w:tc>
          <w:tcPr>
            <w:tcW w:w="4680" w:type="dxa"/>
          </w:tcPr>
          <w:p>
            <w:pPr>
              <w:spacing w:line="480" w:lineRule="exact"/>
              <w:rPr>
                <w:rFonts w:ascii="仿宋" w:hAnsi="仿宋" w:eastAsia="仿宋" w:cs="仿宋"/>
                <w:sz w:val="24"/>
              </w:rPr>
            </w:pPr>
            <w:r>
              <w:rPr>
                <w:rFonts w:hint="eastAsia" w:ascii="仿宋" w:hAnsi="仿宋" w:eastAsia="仿宋" w:cs="仿宋"/>
                <w:sz w:val="24"/>
              </w:rPr>
              <w:t>户名：重庆市计量质量检测研究院</w:t>
            </w:r>
          </w:p>
          <w:p>
            <w:pPr>
              <w:spacing w:line="480" w:lineRule="exact"/>
              <w:rPr>
                <w:rFonts w:ascii="仿宋" w:hAnsi="仿宋" w:eastAsia="仿宋" w:cs="仿宋"/>
                <w:sz w:val="24"/>
              </w:rPr>
            </w:pPr>
            <w:r>
              <w:rPr>
                <w:rFonts w:hint="eastAsia" w:ascii="仿宋" w:hAnsi="仿宋" w:eastAsia="仿宋" w:cs="仿宋"/>
                <w:sz w:val="24"/>
              </w:rPr>
              <w:t>开户银行：中国工商银行股份有限公司重庆西湖路支行</w:t>
            </w:r>
          </w:p>
          <w:p>
            <w:pPr>
              <w:spacing w:line="480" w:lineRule="exact"/>
              <w:rPr>
                <w:rFonts w:ascii="仿宋" w:hAnsi="仿宋" w:eastAsia="仿宋" w:cs="仿宋"/>
                <w:sz w:val="24"/>
              </w:rPr>
            </w:pPr>
            <w:r>
              <w:rPr>
                <w:rFonts w:hint="eastAsia" w:ascii="仿宋" w:hAnsi="仿宋" w:eastAsia="仿宋" w:cs="仿宋"/>
                <w:sz w:val="24"/>
              </w:rPr>
              <w:t>银行账号：3100022609100037555</w:t>
            </w:r>
          </w:p>
          <w:p>
            <w:pPr>
              <w:spacing w:line="480" w:lineRule="exact"/>
              <w:rPr>
                <w:rFonts w:ascii="仿宋" w:hAnsi="仿宋" w:eastAsia="仿宋" w:cs="仿宋"/>
                <w:sz w:val="24"/>
              </w:rPr>
            </w:pPr>
            <w:r>
              <w:rPr>
                <w:rFonts w:hint="eastAsia" w:ascii="仿宋" w:hAnsi="仿宋" w:eastAsia="仿宋" w:cs="仿宋"/>
                <w:sz w:val="24"/>
              </w:rPr>
              <w:t>纳税人识别号：12500000784238817D</w:t>
            </w:r>
          </w:p>
        </w:tc>
        <w:tc>
          <w:tcPr>
            <w:tcW w:w="4919" w:type="dxa"/>
          </w:tcPr>
          <w:p>
            <w:pPr>
              <w:spacing w:line="480" w:lineRule="exact"/>
              <w:rPr>
                <w:rFonts w:ascii="仿宋" w:hAnsi="仿宋" w:eastAsia="仿宋" w:cs="仿宋"/>
                <w:sz w:val="24"/>
              </w:rPr>
            </w:pPr>
            <w:r>
              <w:rPr>
                <w:rFonts w:hint="eastAsia" w:ascii="仿宋" w:hAnsi="仿宋" w:eastAsia="仿宋" w:cs="仿宋"/>
                <w:sz w:val="24"/>
              </w:rPr>
              <w:t>户名：                                 开户银行：</w:t>
            </w:r>
          </w:p>
          <w:p>
            <w:pPr>
              <w:spacing w:line="480" w:lineRule="exact"/>
              <w:rPr>
                <w:rFonts w:ascii="仿宋" w:hAnsi="仿宋" w:eastAsia="仿宋" w:cs="仿宋"/>
                <w:sz w:val="24"/>
              </w:rPr>
            </w:pPr>
            <w:r>
              <w:rPr>
                <w:rFonts w:hint="eastAsia" w:ascii="仿宋" w:hAnsi="仿宋" w:eastAsia="仿宋" w:cs="仿宋"/>
                <w:sz w:val="24"/>
              </w:rPr>
              <w:t>银行账号：</w:t>
            </w:r>
          </w:p>
          <w:p>
            <w:pPr>
              <w:spacing w:line="480" w:lineRule="exact"/>
              <w:rPr>
                <w:rFonts w:ascii="仿宋" w:hAnsi="仿宋" w:eastAsia="仿宋" w:cs="仿宋"/>
                <w:sz w:val="24"/>
              </w:rPr>
            </w:pPr>
            <w:r>
              <w:rPr>
                <w:rFonts w:hint="eastAsia" w:ascii="仿宋" w:hAnsi="仿宋" w:eastAsia="仿宋" w:cs="仿宋"/>
                <w:sz w:val="24"/>
              </w:rPr>
              <w:t>纳税人识别号：</w:t>
            </w:r>
          </w:p>
        </w:tc>
      </w:tr>
    </w:tbl>
    <w:p>
      <w:pPr>
        <w:spacing w:line="480" w:lineRule="exact"/>
        <w:rPr>
          <w:rFonts w:ascii="仿宋" w:hAnsi="仿宋" w:eastAsia="仿宋" w:cs="仿宋"/>
          <w:b/>
          <w:sz w:val="24"/>
        </w:rPr>
        <w:sectPr>
          <w:footerReference r:id="rId11" w:type="default"/>
          <w:pgSz w:w="11906" w:h="16838"/>
          <w:pgMar w:top="851" w:right="1134" w:bottom="851" w:left="1247" w:header="851" w:footer="992" w:gutter="0"/>
          <w:cols w:space="720" w:num="1"/>
          <w:docGrid w:type="lines" w:linePitch="312" w:charSpace="0"/>
        </w:sectPr>
      </w:pPr>
      <w:r>
        <w:rPr>
          <w:rFonts w:hint="eastAsia" w:ascii="仿宋" w:hAnsi="仿宋" w:eastAsia="仿宋" w:cs="仿宋"/>
          <w:sz w:val="24"/>
        </w:rPr>
        <w:t xml:space="preserve">                                     签约时间：    年   月    日</w:t>
      </w:r>
    </w:p>
    <w:p>
      <w:pPr>
        <w:textAlignment w:val="center"/>
        <w:rPr>
          <w:rFonts w:ascii="微软雅黑" w:hAnsi="微软雅黑" w:eastAsia="微软雅黑" w:cs="宋体"/>
          <w:color w:val="000000" w:themeColor="text1"/>
          <w:kern w:val="0"/>
          <w:szCs w:val="21"/>
          <w14:textFill>
            <w14:solidFill>
              <w14:schemeClr w14:val="tx1"/>
            </w14:solidFill>
          </w14:textFill>
        </w:rPr>
      </w:pPr>
    </w:p>
    <w:p>
      <w:pPr>
        <w:textAlignment w:val="center"/>
        <w:rPr>
          <w:rFonts w:ascii="微软雅黑" w:hAnsi="微软雅黑" w:eastAsia="微软雅黑" w:cs="宋体"/>
          <w:color w:val="000000" w:themeColor="text1"/>
          <w:kern w:val="0"/>
          <w:szCs w:val="21"/>
          <w14:textFill>
            <w14:solidFill>
              <w14:schemeClr w14:val="tx1"/>
            </w14:solidFill>
          </w14:textFill>
        </w:rPr>
      </w:pPr>
      <w:r>
        <w:rPr>
          <w:rFonts w:hint="eastAsia" w:ascii="微软雅黑" w:hAnsi="微软雅黑" w:eastAsia="微软雅黑" w:cs="宋体"/>
          <w:color w:val="000000" w:themeColor="text1"/>
          <w:kern w:val="0"/>
          <w:szCs w:val="21"/>
          <w14:textFill>
            <w14:solidFill>
              <w14:schemeClr w14:val="tx1"/>
            </w14:solidFill>
          </w14:textFill>
        </w:rPr>
        <w:t>附件：1</w:t>
      </w:r>
    </w:p>
    <w:tbl>
      <w:tblPr>
        <w:tblStyle w:val="39"/>
        <w:tblW w:w="5000" w:type="pct"/>
        <w:tblInd w:w="0" w:type="dxa"/>
        <w:tblLayout w:type="autofit"/>
        <w:tblCellMar>
          <w:top w:w="0" w:type="dxa"/>
          <w:left w:w="108" w:type="dxa"/>
          <w:bottom w:w="0" w:type="dxa"/>
          <w:right w:w="108" w:type="dxa"/>
        </w:tblCellMar>
      </w:tblPr>
      <w:tblGrid>
        <w:gridCol w:w="2992"/>
        <w:gridCol w:w="810"/>
        <w:gridCol w:w="946"/>
        <w:gridCol w:w="810"/>
        <w:gridCol w:w="810"/>
        <w:gridCol w:w="3208"/>
      </w:tblGrid>
      <w:tr>
        <w:tblPrEx>
          <w:tblCellMar>
            <w:top w:w="0" w:type="dxa"/>
            <w:left w:w="108" w:type="dxa"/>
            <w:bottom w:w="0" w:type="dxa"/>
            <w:right w:w="108" w:type="dxa"/>
          </w:tblCellMar>
        </w:tblPrEx>
        <w:trPr>
          <w:trHeight w:val="56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b/>
                <w:bCs/>
                <w:color w:val="000000"/>
                <w:sz w:val="32"/>
                <w:szCs w:val="32"/>
              </w:rPr>
            </w:pPr>
            <w:r>
              <w:rPr>
                <w:rFonts w:hint="eastAsia" w:ascii="宋体" w:hAnsi="宋体" w:cs="宋体"/>
                <w:b/>
                <w:bCs/>
                <w:color w:val="000000"/>
                <w:kern w:val="0"/>
                <w:sz w:val="32"/>
                <w:szCs w:val="32"/>
                <w:lang w:bidi="ar"/>
              </w:rPr>
              <w:t>重庆计量质量研究院实验室改造</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项目</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单位</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数量</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单价</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合价</w:t>
            </w: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备注（品牌）</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三楼</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石膏板轻质隔墙</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25.8</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泰山，龙牌</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吊顶维修</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310</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硅钙板600mm*600mm</w:t>
            </w:r>
          </w:p>
        </w:tc>
      </w:tr>
      <w:tr>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洗手池</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个</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PVC卷帘</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34</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地面清洗</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310</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涂料</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384.9</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三棵树，立邦，嘉宝莉</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灯具拆除</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48</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600*600平板灯</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48</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雷士，欧普，飞利浦</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线路改造</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鸽牌，渝丰</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121办公室</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拆除操作台</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400*800墙砖</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9.6</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规格：400mm*800mm</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同质透心地胶无自流平</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36.8</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厚度：2.0mm</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涂料</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88.2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三棵树，立邦，嘉宝莉</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吊顶维修</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36.8</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硅钙板600mm*600mm</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出渣</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灯具拆除</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600*600平板灯</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雷士，欧普，飞利浦</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实木窗套</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m</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20</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开荒清洁</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36.8</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PVC卷帘</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14</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线路改造</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鸽牌，渝丰</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116</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拆除操作台</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回填</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石膏板轻质隔墙</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26.91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泰山，龙牌</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涂料</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139.3</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三棵树，立邦，嘉宝莉</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灯具拆除</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600*600平板灯</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雷士，欧普，飞利浦</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吊顶维修</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45.72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硅钙板600mm*600mm</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换锁</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同质透心地胶无自流平</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45.72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厚度：2.0mm</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开荒清洁</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45.72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PVC卷帘</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玻璃贴膜</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出渣</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线路改造</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鸽牌，渝丰</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113、114、115库房</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拆除隔墙</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补外墙洞</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涂料</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215.2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三棵树，立邦，嘉宝莉</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出渣</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换锁</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吊顶维修</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125.4</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硅钙板600mm*600mm</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同质透心地胶无自流平</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44.88</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厚度：2.0mm</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PVC卷帘</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18.6</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玻璃贴膜</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15</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开荒清洁</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125.4</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灯具拆除</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18</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600*600平板灯</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18</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雷士，欧普，飞利浦</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线路改造</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鸽牌，渝丰</w:t>
            </w: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安全措施费</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auto"/>
                <w:kern w:val="0"/>
                <w:sz w:val="22"/>
                <w:szCs w:val="22"/>
                <w:lang w:bidi="ar"/>
              </w:rPr>
              <w:t>税金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rPr>
          <w:trHeight w:val="360" w:hRule="atLeast"/>
        </w:trPr>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合计</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w:t>
            </w:r>
          </w:p>
        </w:tc>
        <w:tc>
          <w:tcPr>
            <w:tcW w:w="1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bl>
    <w:p>
      <w:pPr>
        <w:spacing w:line="360" w:lineRule="auto"/>
        <w:rPr>
          <w:rFonts w:ascii="微软雅黑" w:hAnsi="微软雅黑" w:eastAsia="微软雅黑" w:cs="宋体"/>
          <w:color w:val="000000" w:themeColor="text1"/>
          <w:kern w:val="0"/>
          <w:szCs w:val="21"/>
          <w14:textFill>
            <w14:solidFill>
              <w14:schemeClr w14:val="tx1"/>
            </w14:solidFill>
          </w14:textFill>
        </w:rPr>
        <w:sectPr>
          <w:pgSz w:w="11906" w:h="16838"/>
          <w:pgMar w:top="1327" w:right="1287" w:bottom="1327" w:left="1259" w:header="851" w:footer="992" w:gutter="0"/>
          <w:pgNumType w:start="1"/>
          <w:cols w:space="720" w:num="1"/>
          <w:docGrid w:type="lines" w:linePitch="312" w:charSpace="0"/>
        </w:sectPr>
      </w:pPr>
    </w:p>
    <w:p>
      <w:pPr>
        <w:spacing w:line="480" w:lineRule="exact"/>
        <w:rPr>
          <w:rFonts w:ascii="仿宋" w:hAnsi="仿宋" w:eastAsia="微软雅黑" w:cs="仿宋"/>
          <w:sz w:val="24"/>
        </w:rPr>
      </w:pPr>
      <w:r>
        <w:rPr>
          <w:rFonts w:hint="eastAsia" w:ascii="微软雅黑" w:hAnsi="微软雅黑" w:eastAsia="微软雅黑" w:cs="宋体"/>
          <w:color w:val="000000" w:themeColor="text1"/>
          <w:kern w:val="0"/>
          <w:szCs w:val="21"/>
          <w14:textFill>
            <w14:solidFill>
              <w14:schemeClr w14:val="tx1"/>
            </w14:solidFill>
          </w14:textFill>
        </w:rPr>
        <w:t>附件:2</w:t>
      </w:r>
    </w:p>
    <w:p>
      <w:pPr>
        <w:adjustRightInd w:val="0"/>
        <w:snapToGrid w:val="0"/>
        <w:spacing w:line="480" w:lineRule="exact"/>
        <w:jc w:val="center"/>
        <w:rPr>
          <w:rFonts w:ascii="仿宋" w:hAnsi="仿宋" w:eastAsia="仿宋" w:cs="仿宋"/>
          <w:b/>
          <w:sz w:val="24"/>
        </w:rPr>
      </w:pPr>
      <w:r>
        <w:rPr>
          <w:rFonts w:hint="eastAsia" w:ascii="仿宋" w:hAnsi="仿宋" w:eastAsia="仿宋" w:cs="仿宋"/>
          <w:b/>
          <w:sz w:val="24"/>
        </w:rPr>
        <w:t>重庆市计量质量检测研究院</w:t>
      </w:r>
    </w:p>
    <w:p>
      <w:pPr>
        <w:adjustRightInd w:val="0"/>
        <w:snapToGrid w:val="0"/>
        <w:spacing w:line="480" w:lineRule="exact"/>
        <w:jc w:val="center"/>
        <w:rPr>
          <w:rFonts w:ascii="仿宋" w:hAnsi="仿宋" w:eastAsia="仿宋" w:cs="仿宋"/>
          <w:b/>
          <w:sz w:val="24"/>
        </w:rPr>
      </w:pPr>
      <w:r>
        <w:rPr>
          <w:rFonts w:hint="eastAsia" w:ascii="仿宋" w:hAnsi="仿宋" w:eastAsia="仿宋" w:cs="仿宋"/>
          <w:b/>
          <w:sz w:val="24"/>
        </w:rPr>
        <w:t>工程建设项目廉政合同</w:t>
      </w:r>
    </w:p>
    <w:p>
      <w:pPr>
        <w:spacing w:line="480" w:lineRule="exact"/>
        <w:rPr>
          <w:rFonts w:ascii="仿宋" w:hAnsi="仿宋" w:eastAsia="仿宋" w:cs="仿宋"/>
          <w:sz w:val="24"/>
        </w:rPr>
      </w:pPr>
    </w:p>
    <w:p>
      <w:pPr>
        <w:spacing w:line="480" w:lineRule="exact"/>
        <w:ind w:firstLine="480" w:firstLineChars="200"/>
        <w:rPr>
          <w:rFonts w:ascii="仿宋" w:hAnsi="仿宋" w:eastAsia="仿宋" w:cs="仿宋"/>
          <w:sz w:val="24"/>
        </w:rPr>
      </w:pPr>
      <w:r>
        <w:rPr>
          <w:rFonts w:hint="eastAsia" w:ascii="仿宋" w:hAnsi="仿宋" w:eastAsia="仿宋" w:cs="仿宋"/>
          <w:sz w:val="24"/>
        </w:rPr>
        <w:t>工程项目名称： 院本部部分实验室改造项目</w:t>
      </w:r>
    </w:p>
    <w:p>
      <w:pPr>
        <w:spacing w:line="480" w:lineRule="exact"/>
        <w:ind w:firstLine="480" w:firstLineChars="200"/>
        <w:rPr>
          <w:rFonts w:ascii="仿宋" w:hAnsi="仿宋" w:eastAsia="仿宋" w:cs="仿宋"/>
          <w:color w:val="FF0000"/>
          <w:sz w:val="24"/>
        </w:rPr>
      </w:pPr>
      <w:r>
        <w:rPr>
          <w:rFonts w:hint="eastAsia" w:ascii="仿宋" w:hAnsi="仿宋" w:eastAsia="仿宋" w:cs="仿宋"/>
          <w:sz w:val="24"/>
        </w:rPr>
        <w:t>工程项目地址： 重庆市渝北区杨柳北路1号、3号</w:t>
      </w:r>
    </w:p>
    <w:p>
      <w:pPr>
        <w:spacing w:line="480" w:lineRule="exact"/>
        <w:ind w:firstLine="480" w:firstLineChars="200"/>
        <w:rPr>
          <w:rFonts w:ascii="仿宋" w:hAnsi="仿宋" w:eastAsia="仿宋" w:cs="仿宋"/>
          <w:sz w:val="24"/>
        </w:rPr>
      </w:pPr>
      <w:r>
        <w:rPr>
          <w:rFonts w:hint="eastAsia" w:ascii="仿宋" w:hAnsi="仿宋" w:eastAsia="仿宋" w:cs="仿宋"/>
          <w:sz w:val="24"/>
        </w:rPr>
        <w:t>发包单位名称（以下称甲方）：重庆市计量质量检测研究院</w:t>
      </w:r>
    </w:p>
    <w:p>
      <w:pPr>
        <w:spacing w:line="480" w:lineRule="exact"/>
        <w:ind w:firstLine="480" w:firstLineChars="200"/>
        <w:rPr>
          <w:rFonts w:ascii="仿宋" w:hAnsi="仿宋" w:eastAsia="仿宋" w:cs="仿宋"/>
          <w:sz w:val="24"/>
        </w:rPr>
      </w:pPr>
      <w:r>
        <w:rPr>
          <w:rFonts w:hint="eastAsia" w:ascii="仿宋" w:hAnsi="仿宋" w:eastAsia="仿宋" w:cs="仿宋"/>
          <w:sz w:val="24"/>
        </w:rPr>
        <w:t>承包单位名称（以下称乙方）：</w:t>
      </w:r>
    </w:p>
    <w:p>
      <w:pPr>
        <w:spacing w:line="480" w:lineRule="exact"/>
        <w:ind w:firstLine="480" w:firstLineChars="200"/>
        <w:rPr>
          <w:rFonts w:ascii="仿宋" w:hAnsi="仿宋" w:eastAsia="仿宋" w:cs="仿宋"/>
          <w:sz w:val="24"/>
        </w:rPr>
      </w:pPr>
      <w:r>
        <w:rPr>
          <w:rFonts w:hint="eastAsia" w:ascii="仿宋" w:hAnsi="仿宋" w:eastAsia="仿宋" w:cs="仿宋"/>
          <w:sz w:val="24"/>
        </w:rPr>
        <w:t>为加强工程项目建设中有关各方的行为建设，规范工程建设发包、承包双方的业务活动，防止发生以工作关系谋取不正当利益，有效保护国家、集体和当事人的合法权益，根据国家有关工程建设的法律法规和廉政建设规定，特订立本合同。</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第一条  甲乙双方的权利和义务</w:t>
      </w:r>
    </w:p>
    <w:p>
      <w:pPr>
        <w:spacing w:line="480" w:lineRule="exact"/>
        <w:ind w:firstLine="480" w:firstLineChars="200"/>
        <w:rPr>
          <w:rFonts w:ascii="仿宋" w:hAnsi="仿宋" w:eastAsia="仿宋" w:cs="仿宋"/>
          <w:sz w:val="24"/>
        </w:rPr>
      </w:pPr>
      <w:r>
        <w:rPr>
          <w:rFonts w:hint="eastAsia" w:ascii="仿宋" w:hAnsi="仿宋" w:eastAsia="仿宋" w:cs="仿宋"/>
          <w:sz w:val="24"/>
        </w:rPr>
        <w:t>（一）在廉政建设各项规定的原则下，严格遵守国家关于基建市场准入、勘测设计、施工监理、招标投标、工程施工、设备安装和市场经营活动等有关法律法规和相关政策。</w:t>
      </w:r>
    </w:p>
    <w:p>
      <w:pPr>
        <w:spacing w:line="480" w:lineRule="exact"/>
        <w:ind w:firstLine="480" w:firstLineChars="200"/>
        <w:rPr>
          <w:rFonts w:ascii="仿宋" w:hAnsi="仿宋" w:eastAsia="仿宋" w:cs="仿宋"/>
          <w:sz w:val="24"/>
        </w:rPr>
      </w:pPr>
      <w:r>
        <w:rPr>
          <w:rFonts w:hint="eastAsia" w:ascii="仿宋" w:hAnsi="仿宋" w:eastAsia="仿宋" w:cs="仿宋"/>
          <w:sz w:val="24"/>
        </w:rPr>
        <w:t>（二）严格执行本项目发包承包双方签订的（施工合同、监理合同、勘测设计合同、采购合同、代理合同等）合同文件，自觉按合同办事。</w:t>
      </w:r>
    </w:p>
    <w:p>
      <w:pPr>
        <w:spacing w:line="480" w:lineRule="exact"/>
        <w:ind w:firstLine="480" w:firstLineChars="200"/>
        <w:rPr>
          <w:rFonts w:ascii="仿宋" w:hAnsi="仿宋" w:eastAsia="仿宋" w:cs="仿宋"/>
          <w:sz w:val="24"/>
        </w:rPr>
      </w:pPr>
      <w:r>
        <w:rPr>
          <w:rFonts w:hint="eastAsia" w:ascii="仿宋" w:hAnsi="仿宋" w:eastAsia="仿宋" w:cs="仿宋"/>
          <w:sz w:val="24"/>
        </w:rPr>
        <w:t>（三）业务活动必须坚持公开、公平、公正、诚信、透明的原则（除法律法规认定的商业秘密和合同文件另有规定者外），双方人员不得为获取不正当的利益，就工程费用、材料供应、工程量变动、工程验收、工程质量等问题进行私下商谈或达成默契，不得违反工程建设管理规章制度而损害国家和集体利益。</w:t>
      </w:r>
    </w:p>
    <w:p>
      <w:pPr>
        <w:spacing w:line="480" w:lineRule="exact"/>
        <w:ind w:firstLine="480" w:firstLineChars="200"/>
        <w:rPr>
          <w:rFonts w:ascii="仿宋" w:hAnsi="仿宋" w:eastAsia="仿宋" w:cs="仿宋"/>
          <w:sz w:val="24"/>
        </w:rPr>
      </w:pPr>
      <w:r>
        <w:rPr>
          <w:rFonts w:hint="eastAsia" w:ascii="仿宋" w:hAnsi="仿宋" w:eastAsia="仿宋" w:cs="仿宋"/>
          <w:sz w:val="24"/>
        </w:rPr>
        <w:t>（四）建立健全廉政制度，广泛开展廉政教育活动，采取廉政措施，设立廉政公示牌，公布举报电话，监督并认真查处违法违纪行为。发现对方在业务活动中有违反本合同行为的，有及时提醒对方纠正的权利和义务。情节严重的，有向其上级有关部门举报、建议给予处理并要求告知处理结果的权利。</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第二条  甲方的责任</w:t>
      </w:r>
    </w:p>
    <w:p>
      <w:pPr>
        <w:spacing w:line="480" w:lineRule="exact"/>
        <w:ind w:firstLine="480" w:firstLineChars="200"/>
        <w:rPr>
          <w:rFonts w:ascii="仿宋" w:hAnsi="仿宋" w:eastAsia="仿宋" w:cs="仿宋"/>
          <w:sz w:val="24"/>
        </w:rPr>
      </w:pPr>
      <w:r>
        <w:rPr>
          <w:rFonts w:hint="eastAsia" w:ascii="仿宋" w:hAnsi="仿宋" w:eastAsia="仿宋" w:cs="仿宋"/>
          <w:sz w:val="24"/>
        </w:rPr>
        <w:t>甲方的领导和从事该工程项目的工作人员，在工程项目的事前、事中、事后应遵守以下规定：</w:t>
      </w:r>
    </w:p>
    <w:p>
      <w:pPr>
        <w:spacing w:line="480" w:lineRule="exact"/>
        <w:ind w:firstLine="480" w:firstLineChars="200"/>
        <w:rPr>
          <w:rFonts w:ascii="仿宋" w:hAnsi="仿宋" w:eastAsia="仿宋" w:cs="仿宋"/>
          <w:sz w:val="24"/>
        </w:rPr>
      </w:pPr>
      <w:r>
        <w:rPr>
          <w:rFonts w:hint="eastAsia" w:ascii="仿宋" w:hAnsi="仿宋" w:eastAsia="仿宋" w:cs="仿宋"/>
          <w:sz w:val="24"/>
        </w:rPr>
        <w:t>（一）甲方要遵守招标投标相关规定，从严执行“三要十不准”：要依纪依法，严格遵守招标投标规定；要尽职履责，切实强化招标投标监督管理；要清正廉洁，带头守住纪律底线。不准违背招投标审批程序以个人签批、假借集体研究名义等方式违规决定不招标、邀请招标，或者采取化整为零等方式规避招标；不准违规泄露任何可能影响公平竞争的招标投标信息；不准以推荐、串通等方式违规选择招标代理机构；不准授意、默许为特定投标人量身定做招标文件，设置不合理条件限制、排斥潜在投标人；不准指使、纵容、默许投标人采用资质挂靠、弄虚作假等手段围标串标；不准以授意、诱导等方式干预影响评标过程和中标结果；不准授意、默许背离招标文件和中标文件实质性内容订立合同；不准授意、默许标后违规变更设计、调整建设内容、支付资金，或者为中标人指定、推荐分包人、供货商、服务商；不准对招标投标违纪违法行为放任不管、压案不查，或者干扰、妨碍监管部门依法履职；不准纵容、默许亲友及身边工作人员利用本人职权或者职务上的影响，插手干预招标投标活动。</w:t>
      </w:r>
    </w:p>
    <w:p>
      <w:pPr>
        <w:spacing w:line="480" w:lineRule="exact"/>
        <w:ind w:firstLine="480" w:firstLineChars="200"/>
        <w:rPr>
          <w:rFonts w:ascii="仿宋" w:hAnsi="仿宋" w:eastAsia="仿宋" w:cs="仿宋"/>
          <w:sz w:val="24"/>
        </w:rPr>
      </w:pPr>
      <w:r>
        <w:rPr>
          <w:rFonts w:hint="eastAsia" w:ascii="仿宋" w:hAnsi="仿宋" w:eastAsia="仿宋" w:cs="仿宋"/>
          <w:sz w:val="24"/>
        </w:rPr>
        <w:t>（二）不准向乙方索要或接受回扣、礼金、有价证券、贵重物品和好处费、感谢费等；不准在乙方报销任何由个人支付的费用。</w:t>
      </w:r>
    </w:p>
    <w:p>
      <w:pPr>
        <w:spacing w:line="480" w:lineRule="exact"/>
        <w:ind w:firstLine="480" w:firstLineChars="200"/>
        <w:rPr>
          <w:rFonts w:ascii="仿宋" w:hAnsi="仿宋" w:eastAsia="仿宋" w:cs="仿宋"/>
          <w:sz w:val="24"/>
        </w:rPr>
      </w:pPr>
      <w:r>
        <w:rPr>
          <w:rFonts w:hint="eastAsia" w:ascii="仿宋" w:hAnsi="仿宋" w:eastAsia="仿宋" w:cs="仿宋"/>
          <w:sz w:val="24"/>
        </w:rPr>
        <w:t>（三）不准参加乙方安排的宴请及健身、娱乐及旅游等活动；不得接受乙方提供的通讯工具、交通工具、高档办公用品等。</w:t>
      </w:r>
    </w:p>
    <w:p>
      <w:pPr>
        <w:spacing w:line="480" w:lineRule="exact"/>
        <w:ind w:firstLine="480" w:firstLineChars="200"/>
        <w:rPr>
          <w:rFonts w:ascii="仿宋" w:hAnsi="仿宋" w:eastAsia="仿宋" w:cs="仿宋"/>
          <w:sz w:val="24"/>
        </w:rPr>
      </w:pPr>
      <w:r>
        <w:rPr>
          <w:rFonts w:hint="eastAsia" w:ascii="仿宋" w:hAnsi="仿宋" w:eastAsia="仿宋" w:cs="仿宋"/>
          <w:sz w:val="24"/>
        </w:rPr>
        <w:t>（四）不准要求、暗示和接受乙方为个人装修住房、婚丧嫁娶、配偶子女的工作安排以及出国（境）、旅游等提供方便。</w:t>
      </w:r>
    </w:p>
    <w:p>
      <w:pPr>
        <w:spacing w:line="480" w:lineRule="exact"/>
        <w:ind w:firstLine="480" w:firstLineChars="200"/>
        <w:rPr>
          <w:rFonts w:ascii="仿宋" w:hAnsi="仿宋" w:eastAsia="仿宋" w:cs="仿宋"/>
          <w:sz w:val="24"/>
        </w:rPr>
      </w:pPr>
      <w:r>
        <w:rPr>
          <w:rFonts w:hint="eastAsia" w:ascii="仿宋" w:hAnsi="仿宋" w:eastAsia="仿宋" w:cs="仿宋"/>
          <w:sz w:val="24"/>
        </w:rPr>
        <w:t>（五）不准组织或参与赌博活动，不得借赌博活动变相收受乙方人员钱物。</w:t>
      </w:r>
    </w:p>
    <w:p>
      <w:pPr>
        <w:spacing w:line="480" w:lineRule="exact"/>
        <w:ind w:firstLine="480" w:firstLineChars="200"/>
        <w:rPr>
          <w:rFonts w:ascii="仿宋" w:hAnsi="仿宋" w:eastAsia="仿宋" w:cs="仿宋"/>
          <w:sz w:val="24"/>
        </w:rPr>
      </w:pPr>
      <w:r>
        <w:rPr>
          <w:rFonts w:hint="eastAsia" w:ascii="仿宋" w:hAnsi="仿宋" w:eastAsia="仿宋" w:cs="仿宋"/>
          <w:sz w:val="24"/>
        </w:rPr>
        <w:t>（六）配偶、子女不得从事与乙方承包本工程有关的设备材料供应、工程分包、劳务等经济活动。</w:t>
      </w:r>
    </w:p>
    <w:p>
      <w:pPr>
        <w:spacing w:line="480" w:lineRule="exact"/>
        <w:ind w:firstLine="480" w:firstLineChars="200"/>
        <w:rPr>
          <w:rFonts w:ascii="仿宋" w:hAnsi="仿宋" w:eastAsia="仿宋" w:cs="仿宋"/>
          <w:sz w:val="24"/>
        </w:rPr>
      </w:pPr>
      <w:r>
        <w:rPr>
          <w:rFonts w:hint="eastAsia" w:ascii="仿宋" w:hAnsi="仿宋" w:eastAsia="仿宋" w:cs="仿宋"/>
          <w:sz w:val="24"/>
        </w:rPr>
        <w:t>（七）不得以任何理由向乙方推荐分包单位或要求乙方购买项目合同规定以外的材料、设备和服务等。</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第三条  乙方的责任</w:t>
      </w:r>
    </w:p>
    <w:p>
      <w:pPr>
        <w:spacing w:line="480" w:lineRule="exact"/>
        <w:ind w:firstLine="480" w:firstLineChars="200"/>
        <w:rPr>
          <w:rFonts w:ascii="仿宋" w:hAnsi="仿宋" w:eastAsia="仿宋" w:cs="仿宋"/>
          <w:sz w:val="24"/>
        </w:rPr>
      </w:pPr>
      <w:r>
        <w:rPr>
          <w:rFonts w:hint="eastAsia" w:ascii="仿宋" w:hAnsi="仿宋" w:eastAsia="仿宋" w:cs="仿宋"/>
          <w:sz w:val="24"/>
        </w:rPr>
        <w:t>乙方应与甲方保持正常的业务交往，按照有关法律法规和程序开展业务工作，严格执行工程建设的有关方针、政策，尤其是有关强制性标准和规范，并遵守以下规定：</w:t>
      </w:r>
    </w:p>
    <w:p>
      <w:pPr>
        <w:spacing w:line="480" w:lineRule="exact"/>
        <w:ind w:firstLine="480" w:firstLineChars="200"/>
        <w:rPr>
          <w:rFonts w:ascii="仿宋" w:hAnsi="仿宋" w:eastAsia="仿宋" w:cs="仿宋"/>
          <w:sz w:val="24"/>
        </w:rPr>
      </w:pPr>
      <w:r>
        <w:rPr>
          <w:rFonts w:hint="eastAsia" w:ascii="仿宋" w:hAnsi="仿宋" w:eastAsia="仿宋" w:cs="仿宋"/>
          <w:sz w:val="24"/>
        </w:rPr>
        <w:t>（一）不准以任何理由向甲方及其工作人员行贿或赠送礼金、有价证券、贵重物品等。</w:t>
      </w:r>
    </w:p>
    <w:p>
      <w:pPr>
        <w:spacing w:line="480" w:lineRule="exact"/>
        <w:ind w:firstLine="480" w:firstLineChars="200"/>
        <w:rPr>
          <w:rFonts w:ascii="仿宋" w:hAnsi="仿宋" w:eastAsia="仿宋" w:cs="仿宋"/>
          <w:sz w:val="24"/>
        </w:rPr>
      </w:pPr>
      <w:r>
        <w:rPr>
          <w:rFonts w:hint="eastAsia" w:ascii="仿宋" w:hAnsi="仿宋" w:eastAsia="仿宋" w:cs="仿宋"/>
          <w:sz w:val="24"/>
        </w:rPr>
        <w:t>（二）不准以任何名义为甲方及其工作人员报销应由个人支付的费用。</w:t>
      </w:r>
    </w:p>
    <w:p>
      <w:pPr>
        <w:spacing w:line="480" w:lineRule="exact"/>
        <w:ind w:firstLine="480" w:firstLineChars="200"/>
        <w:rPr>
          <w:rFonts w:ascii="仿宋" w:hAnsi="仿宋" w:eastAsia="仿宋" w:cs="仿宋"/>
          <w:sz w:val="24"/>
        </w:rPr>
      </w:pPr>
      <w:r>
        <w:rPr>
          <w:rFonts w:hint="eastAsia" w:ascii="仿宋" w:hAnsi="仿宋" w:eastAsia="仿宋" w:cs="仿宋"/>
          <w:sz w:val="24"/>
        </w:rPr>
        <w:t>（三）不准以任何理由安排甲方工作人员参加的宴请及健身、娱乐和旅游等活动。</w:t>
      </w:r>
    </w:p>
    <w:p>
      <w:pPr>
        <w:spacing w:line="480" w:lineRule="exact"/>
        <w:ind w:firstLine="480" w:firstLineChars="200"/>
        <w:rPr>
          <w:rFonts w:ascii="仿宋" w:hAnsi="仿宋" w:eastAsia="仿宋" w:cs="仿宋"/>
          <w:sz w:val="24"/>
        </w:rPr>
      </w:pPr>
      <w:r>
        <w:rPr>
          <w:rFonts w:hint="eastAsia" w:ascii="仿宋" w:hAnsi="仿宋" w:eastAsia="仿宋" w:cs="仿宋"/>
          <w:sz w:val="24"/>
        </w:rPr>
        <w:t>（四）不准为甲方单位和工作人员购置或提供通讯工具、交通工具、高档办公用品和装修住房等。</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第四条  违约责任</w:t>
      </w:r>
    </w:p>
    <w:p>
      <w:pPr>
        <w:spacing w:line="480" w:lineRule="exact"/>
        <w:ind w:firstLine="480" w:firstLineChars="200"/>
        <w:rPr>
          <w:rFonts w:ascii="仿宋" w:hAnsi="仿宋" w:eastAsia="仿宋" w:cs="仿宋"/>
          <w:sz w:val="24"/>
        </w:rPr>
      </w:pPr>
      <w:r>
        <w:rPr>
          <w:rFonts w:hint="eastAsia" w:ascii="仿宋" w:hAnsi="仿宋" w:eastAsia="仿宋" w:cs="仿宋"/>
          <w:sz w:val="24"/>
        </w:rPr>
        <w:t>（一）甲方工作人员有违反本合同责任行为的，依据有关法律法规和规定进行处理；涉嫌犯罪的，移交司法机关追究刑事责任；给乙方单位造成经济损失的，应予以赔偿。</w:t>
      </w:r>
    </w:p>
    <w:p>
      <w:pPr>
        <w:spacing w:line="480" w:lineRule="exact"/>
        <w:ind w:firstLine="480" w:firstLineChars="200"/>
        <w:rPr>
          <w:rFonts w:ascii="仿宋" w:hAnsi="仿宋" w:eastAsia="仿宋" w:cs="仿宋"/>
          <w:sz w:val="24"/>
        </w:rPr>
      </w:pPr>
      <w:r>
        <w:rPr>
          <w:rFonts w:hint="eastAsia" w:ascii="仿宋" w:hAnsi="仿宋" w:eastAsia="仿宋" w:cs="仿宋"/>
          <w:sz w:val="24"/>
        </w:rPr>
        <w:t>（二）乙方工作人员有违反本合同责任行为的，按照管理权限，依据有关法律法规和规定给予党纪处分、政务处分或组织处理；涉嫌犯罪的，移交司法机关追究刑事责任；给甲方单位造成经济损失的，应予以赔偿。</w:t>
      </w:r>
    </w:p>
    <w:p>
      <w:pPr>
        <w:spacing w:line="480" w:lineRule="exact"/>
        <w:ind w:firstLine="480" w:firstLineChars="200"/>
        <w:rPr>
          <w:rFonts w:ascii="仿宋" w:hAnsi="仿宋" w:eastAsia="仿宋" w:cs="仿宋"/>
          <w:sz w:val="24"/>
        </w:rPr>
      </w:pPr>
      <w:r>
        <w:rPr>
          <w:rFonts w:hint="eastAsia" w:ascii="仿宋" w:hAnsi="仿宋" w:eastAsia="仿宋" w:cs="仿宋"/>
          <w:sz w:val="24"/>
        </w:rPr>
        <w:t>（三）乙方如将部分辅助项目分包的，乙方有责任向分包单位交代本合同的具体内容，并严格执行本合同之规定，分包单位如有违反上述责任行为的，乙方将承担连带责任。</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第五条  双方约定</w:t>
      </w:r>
    </w:p>
    <w:p>
      <w:pPr>
        <w:spacing w:line="480" w:lineRule="exact"/>
        <w:ind w:firstLine="480" w:firstLineChars="200"/>
        <w:rPr>
          <w:rFonts w:ascii="仿宋" w:hAnsi="仿宋" w:eastAsia="仿宋" w:cs="仿宋"/>
          <w:sz w:val="24"/>
        </w:rPr>
      </w:pPr>
      <w:r>
        <w:rPr>
          <w:rFonts w:hint="eastAsia" w:ascii="仿宋" w:hAnsi="仿宋" w:eastAsia="仿宋" w:cs="仿宋"/>
          <w:sz w:val="24"/>
        </w:rPr>
        <w:t>本合同由（甲乙双方经办部门主要负责人）负责监督。日常工作由 （ 具体经办人员 ） 负责实施，并对本合同履行情况进行检查。</w:t>
      </w:r>
    </w:p>
    <w:p>
      <w:pPr>
        <w:spacing w:line="480" w:lineRule="exact"/>
        <w:ind w:firstLine="482" w:firstLineChars="200"/>
        <w:rPr>
          <w:rFonts w:ascii="仿宋" w:hAnsi="仿宋" w:eastAsia="仿宋" w:cs="仿宋"/>
          <w:sz w:val="24"/>
        </w:rPr>
      </w:pPr>
      <w:r>
        <w:rPr>
          <w:rFonts w:hint="eastAsia" w:ascii="仿宋" w:hAnsi="仿宋" w:eastAsia="仿宋" w:cs="仿宋"/>
          <w:b/>
          <w:sz w:val="24"/>
        </w:rPr>
        <w:t>第六条</w:t>
      </w:r>
      <w:r>
        <w:rPr>
          <w:rFonts w:hint="eastAsia" w:ascii="仿宋" w:hAnsi="仿宋" w:eastAsia="仿宋" w:cs="仿宋"/>
          <w:sz w:val="24"/>
        </w:rPr>
        <w:t xml:space="preserve"> 本合同作为《院本部食品楼1-5层卫生间维修项目》的配套合同，具有同等法律效力。甲乙双方签署后立即生效。</w:t>
      </w:r>
    </w:p>
    <w:p>
      <w:pPr>
        <w:spacing w:line="480" w:lineRule="exact"/>
        <w:ind w:firstLine="482" w:firstLineChars="200"/>
        <w:rPr>
          <w:rFonts w:ascii="仿宋" w:hAnsi="仿宋" w:eastAsia="仿宋" w:cs="仿宋"/>
          <w:sz w:val="24"/>
        </w:rPr>
      </w:pPr>
      <w:r>
        <w:rPr>
          <w:rFonts w:hint="eastAsia" w:ascii="仿宋" w:hAnsi="仿宋" w:eastAsia="仿宋" w:cs="仿宋"/>
          <w:b/>
          <w:sz w:val="24"/>
        </w:rPr>
        <w:t>第七条</w:t>
      </w:r>
      <w:r>
        <w:rPr>
          <w:rFonts w:hint="eastAsia" w:ascii="仿宋" w:hAnsi="仿宋" w:eastAsia="仿宋" w:cs="仿宋"/>
          <w:sz w:val="24"/>
        </w:rPr>
        <w:t xml:space="preserve"> 本合同的有效期为双方签署之日起至该工程竣工验收合格时止。</w:t>
      </w:r>
    </w:p>
    <w:p>
      <w:pPr>
        <w:spacing w:line="480" w:lineRule="exact"/>
        <w:rPr>
          <w:rFonts w:ascii="仿宋" w:hAnsi="仿宋" w:eastAsia="仿宋" w:cs="仿宋"/>
          <w:sz w:val="24"/>
        </w:rPr>
      </w:pPr>
    </w:p>
    <w:p>
      <w:pPr>
        <w:spacing w:line="480" w:lineRule="exact"/>
        <w:rPr>
          <w:rFonts w:ascii="仿宋" w:hAnsi="仿宋" w:eastAsia="仿宋" w:cs="仿宋"/>
          <w:sz w:val="24"/>
        </w:rPr>
      </w:pPr>
      <w:r>
        <w:rPr>
          <w:rFonts w:hint="eastAsia" w:ascii="仿宋" w:hAnsi="仿宋" w:eastAsia="仿宋" w:cs="仿宋"/>
          <w:sz w:val="24"/>
        </w:rPr>
        <w:t>甲方单位（盖章）：                         乙方单位（盖章）：</w:t>
      </w:r>
    </w:p>
    <w:p>
      <w:pPr>
        <w:spacing w:line="480" w:lineRule="exact"/>
        <w:rPr>
          <w:rFonts w:ascii="仿宋" w:hAnsi="仿宋" w:eastAsia="仿宋" w:cs="仿宋"/>
          <w:sz w:val="24"/>
        </w:rPr>
      </w:pPr>
      <w:r>
        <w:rPr>
          <w:rFonts w:hint="eastAsia" w:ascii="仿宋" w:hAnsi="仿宋" w:eastAsia="仿宋" w:cs="仿宋"/>
          <w:sz w:val="24"/>
        </w:rPr>
        <w:t>经办人：                                   经办人：</w:t>
      </w:r>
    </w:p>
    <w:p>
      <w:pPr>
        <w:spacing w:line="480" w:lineRule="exact"/>
        <w:rPr>
          <w:rFonts w:ascii="仿宋" w:hAnsi="仿宋" w:eastAsia="仿宋" w:cs="仿宋"/>
          <w:sz w:val="24"/>
        </w:rPr>
      </w:pPr>
      <w:r>
        <w:rPr>
          <w:rFonts w:hint="eastAsia" w:ascii="仿宋" w:hAnsi="仿宋" w:eastAsia="仿宋" w:cs="仿宋"/>
          <w:sz w:val="24"/>
        </w:rPr>
        <w:t>地址：重庆市渝北区杨柳北路1号             地址：</w:t>
      </w:r>
    </w:p>
    <w:p>
      <w:pPr>
        <w:spacing w:line="480" w:lineRule="exact"/>
        <w:rPr>
          <w:rFonts w:ascii="仿宋" w:hAnsi="仿宋" w:eastAsia="仿宋" w:cs="仿宋"/>
          <w:sz w:val="24"/>
        </w:rPr>
      </w:pPr>
      <w:r>
        <w:rPr>
          <w:rFonts w:hint="eastAsia" w:ascii="仿宋" w:hAnsi="仿宋" w:eastAsia="仿宋" w:cs="仿宋"/>
          <w:sz w:val="24"/>
        </w:rPr>
        <w:t>电话：023-89232162                         电话：023-42893166</w:t>
      </w:r>
    </w:p>
    <w:p>
      <w:pPr>
        <w:spacing w:line="480" w:lineRule="exact"/>
        <w:rPr>
          <w:rFonts w:ascii="仿宋" w:hAnsi="仿宋" w:eastAsia="仿宋" w:cs="仿宋"/>
          <w:sz w:val="24"/>
        </w:rPr>
      </w:pPr>
      <w:r>
        <w:rPr>
          <w:rFonts w:hint="eastAsia" w:ascii="仿宋" w:hAnsi="仿宋" w:eastAsia="仿宋" w:cs="仿宋"/>
          <w:sz w:val="24"/>
        </w:rPr>
        <w:t>甲方责任部门（盖章）                       乙方责任部门（盖章）</w:t>
      </w:r>
    </w:p>
    <w:p>
      <w:pPr>
        <w:spacing w:line="480" w:lineRule="exact"/>
        <w:rPr>
          <w:rFonts w:ascii="微软雅黑" w:hAnsi="微软雅黑" w:eastAsia="微软雅黑"/>
          <w:szCs w:val="21"/>
        </w:rPr>
      </w:pPr>
      <w:r>
        <w:rPr>
          <w:rFonts w:hint="eastAsia" w:ascii="仿宋" w:hAnsi="仿宋" w:eastAsia="仿宋" w:cs="仿宋"/>
          <w:sz w:val="24"/>
        </w:rPr>
        <w:t xml:space="preserve">        年   月   日                               年   月   日</w:t>
      </w:r>
    </w:p>
    <w:p>
      <w:pPr>
        <w:spacing w:line="480" w:lineRule="exact"/>
        <w:rPr>
          <w:rFonts w:ascii="仿宋" w:hAnsi="仿宋" w:eastAsia="仿宋" w:cs="仿宋"/>
          <w:sz w:val="24"/>
        </w:rPr>
      </w:pPr>
      <w:r>
        <w:rPr>
          <w:rFonts w:hint="eastAsia" w:ascii="仿宋" w:hAnsi="仿宋" w:eastAsia="仿宋" w:cs="仿宋"/>
          <w:sz w:val="24"/>
        </w:rPr>
        <w:br w:type="page"/>
      </w:r>
      <w:r>
        <w:rPr>
          <w:rFonts w:hint="eastAsia" w:ascii="仿宋" w:hAnsi="仿宋" w:eastAsia="仿宋" w:cs="仿宋"/>
          <w:sz w:val="24"/>
        </w:rPr>
        <w:t>附件3：</w:t>
      </w:r>
    </w:p>
    <w:p>
      <w:pPr>
        <w:adjustRightInd w:val="0"/>
        <w:snapToGrid w:val="0"/>
        <w:spacing w:line="480" w:lineRule="exact"/>
        <w:jc w:val="center"/>
        <w:rPr>
          <w:rFonts w:ascii="仿宋" w:hAnsi="仿宋" w:eastAsia="仿宋" w:cs="仿宋"/>
          <w:b/>
          <w:sz w:val="24"/>
        </w:rPr>
      </w:pPr>
      <w:r>
        <w:rPr>
          <w:rFonts w:hint="eastAsia" w:ascii="仿宋" w:hAnsi="仿宋" w:eastAsia="仿宋" w:cs="仿宋"/>
          <w:b/>
          <w:sz w:val="24"/>
        </w:rPr>
        <w:t>安全责任协议</w:t>
      </w:r>
    </w:p>
    <w:p>
      <w:pPr>
        <w:spacing w:line="480" w:lineRule="exact"/>
        <w:rPr>
          <w:rFonts w:ascii="仿宋" w:hAnsi="仿宋" w:eastAsia="仿宋" w:cs="仿宋"/>
          <w:sz w:val="24"/>
        </w:rPr>
      </w:pPr>
    </w:p>
    <w:p>
      <w:pPr>
        <w:spacing w:line="480" w:lineRule="exact"/>
        <w:ind w:firstLine="480" w:firstLineChars="200"/>
        <w:rPr>
          <w:rFonts w:ascii="仿宋" w:hAnsi="仿宋" w:eastAsia="仿宋" w:cs="仿宋"/>
          <w:sz w:val="24"/>
        </w:rPr>
      </w:pPr>
      <w:r>
        <w:rPr>
          <w:rFonts w:hint="eastAsia" w:ascii="仿宋" w:hAnsi="仿宋" w:eastAsia="仿宋" w:cs="仿宋"/>
          <w:sz w:val="24"/>
        </w:rPr>
        <w:t>甲方：重庆市计量质量检测研究院</w:t>
      </w:r>
    </w:p>
    <w:p>
      <w:pPr>
        <w:spacing w:line="480" w:lineRule="exact"/>
        <w:ind w:firstLine="480" w:firstLineChars="200"/>
        <w:rPr>
          <w:rFonts w:ascii="仿宋" w:hAnsi="仿宋" w:eastAsia="仿宋" w:cs="仿宋"/>
          <w:sz w:val="24"/>
        </w:rPr>
      </w:pPr>
      <w:r>
        <w:rPr>
          <w:rFonts w:hint="eastAsia" w:ascii="仿宋" w:hAnsi="仿宋" w:eastAsia="仿宋" w:cs="仿宋"/>
          <w:sz w:val="24"/>
        </w:rPr>
        <w:t>乙方：                        （承诺人）</w:t>
      </w:r>
    </w:p>
    <w:p>
      <w:pPr>
        <w:spacing w:line="480" w:lineRule="exact"/>
        <w:ind w:firstLine="480" w:firstLineChars="200"/>
        <w:rPr>
          <w:rFonts w:ascii="仿宋" w:hAnsi="仿宋" w:eastAsia="仿宋" w:cs="仿宋"/>
          <w:sz w:val="24"/>
        </w:rPr>
      </w:pPr>
      <w:r>
        <w:rPr>
          <w:rFonts w:hint="eastAsia" w:ascii="仿宋" w:hAnsi="仿宋" w:eastAsia="仿宋" w:cs="仿宋"/>
          <w:sz w:val="24"/>
        </w:rPr>
        <w:t>为加强</w:t>
      </w:r>
      <w:r>
        <w:rPr>
          <w:rFonts w:hint="eastAsia" w:ascii="仿宋" w:hAnsi="仿宋" w:eastAsia="仿宋" w:cs="仿宋"/>
          <w:sz w:val="24"/>
          <w:u w:val="single"/>
        </w:rPr>
        <w:t xml:space="preserve"> 院本部部分实验室改造项目 </w:t>
      </w:r>
      <w:r>
        <w:rPr>
          <w:rFonts w:hint="eastAsia" w:ascii="仿宋" w:hAnsi="仿宋" w:eastAsia="仿宋" w:cs="仿宋"/>
          <w:sz w:val="24"/>
        </w:rPr>
        <w:t>的安全管理，维护人身和财产安全，保障本协议约定项目工作顺利进行，根据有关法律法规的基本原则，甲、乙双方经协商一致，就乙方的安全责任达成本协议，共同遵照执行。</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第一条 适用范围</w:t>
      </w:r>
    </w:p>
    <w:p>
      <w:pPr>
        <w:spacing w:line="480" w:lineRule="exact"/>
        <w:ind w:firstLine="480" w:firstLineChars="200"/>
        <w:rPr>
          <w:rFonts w:ascii="仿宋" w:hAnsi="仿宋" w:eastAsia="仿宋" w:cs="仿宋"/>
          <w:sz w:val="24"/>
        </w:rPr>
      </w:pPr>
      <w:r>
        <w:rPr>
          <w:rFonts w:hint="eastAsia" w:ascii="仿宋" w:hAnsi="仿宋" w:eastAsia="仿宋" w:cs="仿宋"/>
          <w:sz w:val="24"/>
        </w:rPr>
        <w:t>本协议适用的范围：自本协议签订之日起，凡是甲方委托乙方的服务范围均适用本协议，乙方承包服务的工作安全应当贯穿服务工作全部区域范围的全过程。服务工作应当符合国家的相关安全标准。</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第二条 甲方权利</w:t>
      </w:r>
    </w:p>
    <w:p>
      <w:pPr>
        <w:spacing w:line="480" w:lineRule="exact"/>
        <w:ind w:firstLine="480" w:firstLineChars="200"/>
        <w:rPr>
          <w:rFonts w:ascii="仿宋" w:hAnsi="仿宋" w:eastAsia="仿宋" w:cs="仿宋"/>
          <w:sz w:val="24"/>
        </w:rPr>
      </w:pPr>
      <w:r>
        <w:rPr>
          <w:rFonts w:hint="eastAsia" w:ascii="仿宋" w:hAnsi="仿宋" w:eastAsia="仿宋" w:cs="仿宋"/>
          <w:sz w:val="24"/>
        </w:rPr>
        <w:t>1．甲方有权督促、检查乙方落实各种安全防护措施，有权制止违章作业，确保劳动者和设备安全。</w:t>
      </w:r>
    </w:p>
    <w:p>
      <w:pPr>
        <w:spacing w:line="480" w:lineRule="exact"/>
        <w:ind w:firstLine="480" w:firstLineChars="200"/>
        <w:rPr>
          <w:rFonts w:ascii="仿宋" w:hAnsi="仿宋" w:eastAsia="仿宋" w:cs="仿宋"/>
          <w:sz w:val="24"/>
        </w:rPr>
      </w:pPr>
      <w:r>
        <w:rPr>
          <w:rFonts w:hint="eastAsia" w:ascii="仿宋" w:hAnsi="仿宋" w:eastAsia="仿宋" w:cs="仿宋"/>
          <w:sz w:val="24"/>
        </w:rPr>
        <w:t>2．在服务工作过程中发生的一切安全事故，甲方不负任何责任；但可协助乙方进行事故处理。</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第三条 乙方责任</w:t>
      </w:r>
    </w:p>
    <w:p>
      <w:pPr>
        <w:spacing w:line="480" w:lineRule="exact"/>
        <w:ind w:firstLine="480" w:firstLineChars="200"/>
        <w:rPr>
          <w:rFonts w:ascii="仿宋" w:hAnsi="仿宋" w:eastAsia="仿宋" w:cs="仿宋"/>
          <w:sz w:val="24"/>
        </w:rPr>
      </w:pPr>
      <w:r>
        <w:rPr>
          <w:rFonts w:hint="eastAsia" w:ascii="仿宋" w:hAnsi="仿宋" w:eastAsia="仿宋" w:cs="仿宋"/>
          <w:sz w:val="24"/>
        </w:rPr>
        <w:t>1．乙方必须对下属各员工的安全作业和安全保卫负责。</w:t>
      </w:r>
    </w:p>
    <w:p>
      <w:pPr>
        <w:spacing w:line="480" w:lineRule="exact"/>
        <w:ind w:firstLine="480" w:firstLineChars="200"/>
        <w:rPr>
          <w:rFonts w:ascii="仿宋" w:hAnsi="仿宋" w:eastAsia="仿宋" w:cs="仿宋"/>
          <w:sz w:val="24"/>
        </w:rPr>
      </w:pPr>
      <w:r>
        <w:rPr>
          <w:rFonts w:hint="eastAsia" w:ascii="仿宋" w:hAnsi="仿宋" w:eastAsia="仿宋" w:cs="仿宋"/>
          <w:sz w:val="24"/>
        </w:rPr>
        <w:t>2．乙方应当制定服务工作安全的目标和措施，改善作业人员的作业环境和条件。</w:t>
      </w:r>
    </w:p>
    <w:p>
      <w:pPr>
        <w:spacing w:line="480" w:lineRule="exact"/>
        <w:ind w:firstLine="480" w:firstLineChars="200"/>
        <w:rPr>
          <w:rFonts w:ascii="仿宋" w:hAnsi="仿宋" w:eastAsia="仿宋" w:cs="仿宋"/>
          <w:sz w:val="24"/>
        </w:rPr>
      </w:pPr>
      <w:r>
        <w:rPr>
          <w:rFonts w:hint="eastAsia" w:ascii="仿宋" w:hAnsi="仿宋" w:eastAsia="仿宋" w:cs="仿宋"/>
          <w:sz w:val="24"/>
        </w:rPr>
        <w:t>3．乙方应当建立施工安全保障体系，严禁使用未成年工和不适应现场安全作业要求的老、弱、病、残人员进行工作，以确保服务工作的顺利进行。</w:t>
      </w:r>
    </w:p>
    <w:p>
      <w:pPr>
        <w:spacing w:line="480" w:lineRule="exact"/>
        <w:ind w:firstLine="480" w:firstLineChars="200"/>
        <w:rPr>
          <w:rFonts w:ascii="仿宋" w:hAnsi="仿宋" w:eastAsia="仿宋" w:cs="仿宋"/>
          <w:sz w:val="24"/>
        </w:rPr>
      </w:pPr>
      <w:r>
        <w:rPr>
          <w:rFonts w:hint="eastAsia" w:ascii="仿宋" w:hAnsi="仿宋" w:eastAsia="仿宋" w:cs="仿宋"/>
          <w:sz w:val="24"/>
        </w:rPr>
        <w:t>4．乙方应当按规定为下属各员工提供劳动防护用品、用具，并告知其正确的使用方法。</w:t>
      </w:r>
    </w:p>
    <w:p>
      <w:pPr>
        <w:spacing w:line="480" w:lineRule="exact"/>
        <w:ind w:firstLine="480" w:firstLineChars="200"/>
        <w:rPr>
          <w:rFonts w:ascii="仿宋" w:hAnsi="仿宋" w:eastAsia="仿宋" w:cs="仿宋"/>
          <w:sz w:val="24"/>
        </w:rPr>
      </w:pPr>
      <w:r>
        <w:rPr>
          <w:rFonts w:hint="eastAsia" w:ascii="仿宋" w:hAnsi="仿宋" w:eastAsia="仿宋" w:cs="仿宋"/>
          <w:sz w:val="24"/>
        </w:rPr>
        <w:t>5．乙方应当建立员工安全教育培训制度，未经安全教育、培训的员工不得上岗作业；特种作业人员，必须经过有关部门的安全技术培训，经考试合格，方可持证上岗。</w:t>
      </w:r>
    </w:p>
    <w:p>
      <w:pPr>
        <w:spacing w:line="480" w:lineRule="exact"/>
        <w:ind w:firstLine="480" w:firstLineChars="200"/>
        <w:rPr>
          <w:rFonts w:ascii="仿宋" w:hAnsi="仿宋" w:eastAsia="仿宋" w:cs="仿宋"/>
          <w:sz w:val="24"/>
        </w:rPr>
      </w:pPr>
      <w:r>
        <w:rPr>
          <w:rFonts w:hint="eastAsia" w:ascii="仿宋" w:hAnsi="仿宋" w:eastAsia="仿宋" w:cs="仿宋"/>
          <w:sz w:val="24"/>
        </w:rPr>
        <w:t>6．乙方应当根据不同时期的作业防护要求，采取相应的工作安全防护措施，在作业中应设置明显安全标志；作业现场应当设有必要的预防危害人体健康和安全急救的设施及抢救措施。</w:t>
      </w:r>
    </w:p>
    <w:p>
      <w:pPr>
        <w:spacing w:line="480" w:lineRule="exact"/>
        <w:ind w:firstLine="480" w:firstLineChars="200"/>
        <w:rPr>
          <w:rFonts w:ascii="仿宋" w:hAnsi="仿宋" w:eastAsia="仿宋" w:cs="仿宋"/>
          <w:sz w:val="24"/>
        </w:rPr>
      </w:pPr>
      <w:r>
        <w:rPr>
          <w:rFonts w:hint="eastAsia" w:ascii="仿宋" w:hAnsi="仿宋" w:eastAsia="仿宋" w:cs="仿宋"/>
          <w:sz w:val="24"/>
        </w:rPr>
        <w:t>7．现场作业安全防护措施应当符合国家劳动安全、卫生标准。</w:t>
      </w:r>
    </w:p>
    <w:p>
      <w:pPr>
        <w:spacing w:line="480" w:lineRule="exact"/>
        <w:ind w:firstLine="480" w:firstLineChars="200"/>
        <w:rPr>
          <w:rFonts w:ascii="仿宋" w:hAnsi="仿宋" w:eastAsia="仿宋" w:cs="仿宋"/>
          <w:sz w:val="24"/>
        </w:rPr>
      </w:pPr>
      <w:r>
        <w:rPr>
          <w:rFonts w:hint="eastAsia" w:ascii="仿宋" w:hAnsi="仿宋" w:eastAsia="仿宋" w:cs="仿宋"/>
          <w:sz w:val="24"/>
        </w:rPr>
        <w:t>8．遵守当地政府和有关部门对场地文明作业、交通卫生和施工噪音等管理规定。严禁参与黄、赌、毒、邪，服从安全指导，确保劳动者安全。</w:t>
      </w:r>
    </w:p>
    <w:p>
      <w:pPr>
        <w:spacing w:line="480" w:lineRule="exact"/>
        <w:ind w:firstLine="480" w:firstLineChars="200"/>
        <w:rPr>
          <w:rFonts w:ascii="仿宋" w:hAnsi="仿宋" w:eastAsia="仿宋" w:cs="仿宋"/>
          <w:sz w:val="24"/>
        </w:rPr>
      </w:pPr>
      <w:r>
        <w:rPr>
          <w:rFonts w:hint="eastAsia" w:ascii="仿宋" w:hAnsi="仿宋" w:eastAsia="仿宋" w:cs="仿宋"/>
          <w:sz w:val="24"/>
        </w:rPr>
        <w:t>9．乙方应当根据工作的特点编制作业组织设计，制定作业安全技术措施，并向作业工作人员进行书面安全技术交底，被交底人应当在交底书面材料上签字。</w:t>
      </w:r>
    </w:p>
    <w:p>
      <w:pPr>
        <w:spacing w:line="480" w:lineRule="exact"/>
        <w:ind w:firstLine="480" w:firstLineChars="200"/>
        <w:rPr>
          <w:rFonts w:ascii="仿宋" w:hAnsi="仿宋" w:eastAsia="仿宋" w:cs="仿宋"/>
          <w:sz w:val="24"/>
        </w:rPr>
      </w:pPr>
      <w:r>
        <w:rPr>
          <w:rFonts w:hint="eastAsia" w:ascii="仿宋" w:hAnsi="仿宋" w:eastAsia="仿宋" w:cs="仿宋"/>
          <w:sz w:val="24"/>
        </w:rPr>
        <w:t>10．乙方应负责为作业人员购买必要的保险。在作业过程中若造成任何工程、财产的损失和人身伤亡的赔偿，由乙方承担全部责任及所发生的费用并处理善后。</w:t>
      </w:r>
    </w:p>
    <w:p>
      <w:pPr>
        <w:spacing w:line="480" w:lineRule="exact"/>
        <w:ind w:firstLine="480" w:firstLineChars="200"/>
        <w:rPr>
          <w:rFonts w:ascii="仿宋" w:hAnsi="仿宋" w:eastAsia="仿宋" w:cs="仿宋"/>
          <w:sz w:val="24"/>
        </w:rPr>
      </w:pPr>
      <w:r>
        <w:rPr>
          <w:rFonts w:hint="eastAsia" w:ascii="仿宋" w:hAnsi="仿宋" w:eastAsia="仿宋" w:cs="仿宋"/>
          <w:sz w:val="24"/>
        </w:rPr>
        <w:t>11.乙方人员未经许可，禁止进入实验室、库房等非工作区域，乙方在履行本合同过程中发生的包括但不限于乙方人员工伤或人身损害或财产损失、造成甲方或第三人人身损害或财产损失（包括诉讼损失）等事故均由乙方自行负责与解决，并由乙方自行承担所有的经济责任和法律责任（包括甲方诉讼费用），同时甲方有权终止本合同。乙方在没有妥善处理完事故所有后续事宜前，甲方有权暂停支付院本部部分实验室改造项目合同款项，待事故处理完毕并无任何遗留问题再支付给乙方。给甲方造成损失的，直接在合同款项中予以扣除，不足部分甲方有权继续向乙方进行追索。</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第四条 违约责任</w:t>
      </w:r>
    </w:p>
    <w:p>
      <w:pPr>
        <w:spacing w:line="480" w:lineRule="exact"/>
        <w:ind w:firstLine="480" w:firstLineChars="200"/>
        <w:rPr>
          <w:rFonts w:ascii="仿宋" w:hAnsi="仿宋" w:eastAsia="仿宋" w:cs="仿宋"/>
          <w:sz w:val="24"/>
        </w:rPr>
      </w:pPr>
      <w:r>
        <w:rPr>
          <w:rFonts w:hint="eastAsia" w:ascii="仿宋" w:hAnsi="仿宋" w:eastAsia="仿宋" w:cs="仿宋"/>
          <w:sz w:val="24"/>
        </w:rPr>
        <w:t>1．若乙方违反本协议所约定之内容而导致发生各类安全事故的，造成的一切法律后果由乙方自行承担；甲方不负任何责任。</w:t>
      </w:r>
    </w:p>
    <w:p>
      <w:pPr>
        <w:spacing w:line="480" w:lineRule="exact"/>
        <w:ind w:firstLine="480" w:firstLineChars="200"/>
        <w:rPr>
          <w:rFonts w:ascii="仿宋" w:hAnsi="仿宋" w:eastAsia="仿宋" w:cs="仿宋"/>
          <w:sz w:val="24"/>
        </w:rPr>
      </w:pPr>
      <w:r>
        <w:rPr>
          <w:rFonts w:hint="eastAsia" w:ascii="仿宋" w:hAnsi="仿宋" w:eastAsia="仿宋" w:cs="仿宋"/>
          <w:sz w:val="24"/>
        </w:rPr>
        <w:t>2．若乙方在作业区域和作业过程中未按有关安全法律法规做好安全措施而导致发生各类安全事故的，乙方应承担一切法律后果，与甲方无关。</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第五条 争议的解决</w:t>
      </w:r>
    </w:p>
    <w:p>
      <w:pPr>
        <w:spacing w:line="480" w:lineRule="exact"/>
        <w:ind w:firstLine="480" w:firstLineChars="200"/>
        <w:rPr>
          <w:rFonts w:ascii="仿宋" w:hAnsi="仿宋" w:eastAsia="仿宋" w:cs="仿宋"/>
          <w:sz w:val="24"/>
        </w:rPr>
      </w:pPr>
      <w:r>
        <w:rPr>
          <w:rFonts w:hint="eastAsia" w:ascii="仿宋" w:hAnsi="仿宋" w:eastAsia="仿宋" w:cs="仿宋"/>
          <w:sz w:val="24"/>
        </w:rPr>
        <w:t>1．本协议适用中华人民共和国有关法律，受中华人民共和国法律管辖。</w:t>
      </w:r>
    </w:p>
    <w:p>
      <w:pPr>
        <w:spacing w:line="480" w:lineRule="exact"/>
        <w:ind w:firstLine="480" w:firstLineChars="200"/>
        <w:rPr>
          <w:rFonts w:ascii="仿宋" w:hAnsi="仿宋" w:eastAsia="仿宋" w:cs="仿宋"/>
          <w:sz w:val="24"/>
        </w:rPr>
      </w:pPr>
      <w:r>
        <w:rPr>
          <w:rFonts w:hint="eastAsia" w:ascii="仿宋" w:hAnsi="仿宋" w:eastAsia="仿宋" w:cs="仿宋"/>
          <w:sz w:val="24"/>
        </w:rPr>
        <w:t>2．本协议各方当事人对本协议有关条款的解释或履行发生争议时，应通过友好协商的方式予以解决。双方约定，凡因本协议发生的一切争议，当和解或调解不成时，应依法向甲方所在地人民法院提起诉讼。守约方因主张权利产生的诉讼费、律师代理费、仲裁费、财产保全费、咨询费、保全担保/保险费、差旅费、通讯费、执行费、评估费、鉴定费、拍卖费、公证费、公告费等，由违约方承担。</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第六条 不可抗力</w:t>
      </w:r>
    </w:p>
    <w:p>
      <w:pPr>
        <w:spacing w:line="480" w:lineRule="exact"/>
        <w:ind w:firstLine="480" w:firstLineChars="200"/>
        <w:rPr>
          <w:rFonts w:ascii="仿宋" w:hAnsi="仿宋" w:eastAsia="仿宋" w:cs="仿宋"/>
          <w:sz w:val="24"/>
        </w:rPr>
      </w:pPr>
      <w:r>
        <w:rPr>
          <w:rFonts w:hint="eastAsia" w:ascii="仿宋" w:hAnsi="仿宋" w:eastAsia="仿宋" w:cs="仿宋"/>
          <w:sz w:val="24"/>
        </w:rPr>
        <w:t>1．在本协议履行过程中，如因不可抗力导致活动终止或带来损失，甲乙双方各自承担自己损失，互不承担违约责任。</w:t>
      </w:r>
    </w:p>
    <w:p>
      <w:pPr>
        <w:spacing w:line="480" w:lineRule="exact"/>
        <w:ind w:firstLine="480" w:firstLineChars="200"/>
        <w:rPr>
          <w:rFonts w:ascii="仿宋" w:hAnsi="仿宋" w:eastAsia="仿宋" w:cs="仿宋"/>
          <w:sz w:val="24"/>
        </w:rPr>
      </w:pPr>
      <w:r>
        <w:rPr>
          <w:rFonts w:hint="eastAsia" w:ascii="仿宋" w:hAnsi="仿宋" w:eastAsia="仿宋" w:cs="仿宋"/>
          <w:sz w:val="24"/>
        </w:rPr>
        <w:t>2．任何一方因遇到不可抗力致使全部或部分不能履行或迟延履行本协议的，应自不可抗力事件发生之日起 10 日内，将不可抗力情况以书面形式通知另一方，并自不可抗力发生之日起 10 日内，向另一方提交导致其全部或部分不能履行或迟延履行的证明。</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第七条 变更与补充</w:t>
      </w:r>
    </w:p>
    <w:p>
      <w:pPr>
        <w:spacing w:line="480" w:lineRule="exact"/>
        <w:ind w:firstLine="480" w:firstLineChars="200"/>
        <w:rPr>
          <w:rFonts w:ascii="仿宋" w:hAnsi="仿宋" w:eastAsia="仿宋" w:cs="仿宋"/>
          <w:sz w:val="24"/>
        </w:rPr>
      </w:pPr>
      <w:r>
        <w:rPr>
          <w:rFonts w:hint="eastAsia" w:ascii="仿宋" w:hAnsi="仿宋" w:eastAsia="仿宋" w:cs="仿宋"/>
          <w:sz w:val="24"/>
        </w:rPr>
        <w:t>1．本协议中如有未尽事宜，由双方当事人协商一致，签订书面补充协议，书面补充协议与本协议具有同等法律效力。</w:t>
      </w:r>
    </w:p>
    <w:p>
      <w:pPr>
        <w:spacing w:line="480" w:lineRule="exact"/>
        <w:ind w:firstLine="480" w:firstLineChars="200"/>
        <w:rPr>
          <w:rFonts w:ascii="仿宋" w:hAnsi="仿宋" w:eastAsia="仿宋" w:cs="仿宋"/>
          <w:sz w:val="24"/>
        </w:rPr>
      </w:pPr>
      <w:r>
        <w:rPr>
          <w:rFonts w:hint="eastAsia" w:ascii="仿宋" w:hAnsi="仿宋" w:eastAsia="仿宋" w:cs="仿宋"/>
          <w:sz w:val="24"/>
        </w:rPr>
        <w:t>2．除法律本身有明确规定外，后继立法（本协议生效后的立法）或法律变更对本协议不应构成影响。各方应根据后继立法或法律变更，经协商一致对本协议进行修改或补充，但应采取书面形式。</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第八条 通知</w:t>
      </w:r>
    </w:p>
    <w:p>
      <w:pPr>
        <w:spacing w:line="480" w:lineRule="exact"/>
        <w:ind w:firstLine="480" w:firstLineChars="200"/>
        <w:rPr>
          <w:rFonts w:ascii="仿宋" w:hAnsi="仿宋" w:eastAsia="仿宋" w:cs="仿宋"/>
          <w:sz w:val="24"/>
        </w:rPr>
      </w:pPr>
      <w:r>
        <w:rPr>
          <w:rFonts w:hint="eastAsia" w:ascii="仿宋" w:hAnsi="仿宋" w:eastAsia="仿宋" w:cs="仿宋"/>
          <w:sz w:val="24"/>
        </w:rPr>
        <w:t>本协议双方所署地址真实有效，一方（含法院等司法机关）向对方按合同所署地址送达相关文书、资料的，自邮寄之日起3日内视为送达；若一方地址发生变更的，应在变更前3日通知对方，否则按本合同所署地址送达均为有效送达。</w:t>
      </w:r>
    </w:p>
    <w:p>
      <w:pPr>
        <w:adjustRightInd w:val="0"/>
        <w:snapToGrid w:val="0"/>
        <w:spacing w:line="480" w:lineRule="exact"/>
        <w:ind w:firstLine="482" w:firstLineChars="200"/>
        <w:rPr>
          <w:rFonts w:ascii="仿宋" w:hAnsi="仿宋" w:eastAsia="仿宋" w:cs="仿宋"/>
          <w:b/>
          <w:sz w:val="24"/>
        </w:rPr>
      </w:pPr>
      <w:r>
        <w:rPr>
          <w:rFonts w:hint="eastAsia" w:ascii="仿宋" w:hAnsi="仿宋" w:eastAsia="仿宋" w:cs="仿宋"/>
          <w:b/>
          <w:sz w:val="24"/>
        </w:rPr>
        <w:t>第九条 生效</w:t>
      </w:r>
    </w:p>
    <w:p>
      <w:pPr>
        <w:spacing w:line="480" w:lineRule="exact"/>
        <w:ind w:firstLine="480" w:firstLineChars="200"/>
        <w:rPr>
          <w:rFonts w:ascii="仿宋" w:hAnsi="仿宋" w:eastAsia="仿宋" w:cs="仿宋"/>
          <w:sz w:val="24"/>
        </w:rPr>
      </w:pPr>
      <w:r>
        <w:rPr>
          <w:rFonts w:hint="eastAsia" w:ascii="仿宋" w:hAnsi="仿宋" w:eastAsia="仿宋" w:cs="仿宋"/>
          <w:sz w:val="24"/>
        </w:rPr>
        <w:t>本协议壹式 4 份，协议双方各执 2 份。由双方法定代表人或授权的代理人签署与加盖公章后生效。</w:t>
      </w:r>
    </w:p>
    <w:p>
      <w:pPr>
        <w:spacing w:line="480" w:lineRule="exact"/>
        <w:ind w:firstLine="480" w:firstLineChars="200"/>
        <w:rPr>
          <w:rFonts w:ascii="仿宋" w:hAnsi="仿宋" w:eastAsia="仿宋" w:cs="仿宋"/>
          <w:sz w:val="24"/>
        </w:rPr>
      </w:pPr>
    </w:p>
    <w:p>
      <w:pPr>
        <w:spacing w:line="480" w:lineRule="exact"/>
        <w:ind w:firstLine="480" w:firstLineChars="200"/>
        <w:rPr>
          <w:rFonts w:ascii="仿宋" w:hAnsi="仿宋" w:eastAsia="仿宋" w:cs="仿宋"/>
          <w:sz w:val="24"/>
        </w:rPr>
      </w:pPr>
      <w:r>
        <w:rPr>
          <w:rFonts w:hint="eastAsia" w:ascii="仿宋" w:hAnsi="仿宋" w:eastAsia="仿宋" w:cs="仿宋"/>
          <w:sz w:val="24"/>
        </w:rPr>
        <w:t xml:space="preserve">甲方（盖章）：                     乙方（盖章）： </w:t>
      </w:r>
    </w:p>
    <w:p>
      <w:pPr>
        <w:spacing w:line="480" w:lineRule="exact"/>
        <w:ind w:firstLine="480" w:firstLineChars="200"/>
        <w:rPr>
          <w:rFonts w:ascii="仿宋" w:hAnsi="仿宋" w:eastAsia="仿宋" w:cs="仿宋"/>
          <w:sz w:val="24"/>
        </w:rPr>
      </w:pPr>
      <w:r>
        <w:rPr>
          <w:rFonts w:hint="eastAsia" w:ascii="仿宋" w:hAnsi="仿宋" w:eastAsia="仿宋" w:cs="仿宋"/>
          <w:sz w:val="24"/>
        </w:rPr>
        <w:t>法定代表人（签字）                 法定代表人（签字）</w:t>
      </w:r>
    </w:p>
    <w:p>
      <w:pPr>
        <w:spacing w:line="480" w:lineRule="exact"/>
        <w:ind w:firstLine="480" w:firstLineChars="200"/>
        <w:rPr>
          <w:rFonts w:ascii="仿宋" w:hAnsi="仿宋" w:eastAsia="仿宋" w:cs="仿宋"/>
          <w:sz w:val="24"/>
        </w:rPr>
      </w:pPr>
      <w:r>
        <w:rPr>
          <w:rFonts w:hint="eastAsia" w:ascii="仿宋" w:hAnsi="仿宋" w:eastAsia="仿宋" w:cs="仿宋"/>
          <w:sz w:val="24"/>
        </w:rPr>
        <w:t>授权代理人：（签字）               授权代理人：（签字）</w:t>
      </w:r>
    </w:p>
    <w:p>
      <w:pPr>
        <w:spacing w:line="480" w:lineRule="exact"/>
        <w:ind w:firstLine="480" w:firstLineChars="200"/>
        <w:rPr>
          <w:rFonts w:ascii="仿宋" w:hAnsi="仿宋" w:eastAsia="仿宋" w:cs="仿宋"/>
          <w:sz w:val="24"/>
        </w:rPr>
      </w:pPr>
      <w:r>
        <w:rPr>
          <w:rFonts w:hint="eastAsia" w:ascii="仿宋" w:hAnsi="仿宋" w:eastAsia="仿宋" w:cs="仿宋"/>
          <w:sz w:val="24"/>
        </w:rPr>
        <w:t>联系电话：023-83232162             联系电话：023-42893166</w:t>
      </w:r>
    </w:p>
    <w:p>
      <w:pPr>
        <w:spacing w:line="480" w:lineRule="exact"/>
        <w:ind w:firstLine="480" w:firstLineChars="200"/>
        <w:rPr>
          <w:rFonts w:ascii="仿宋" w:hAnsi="仿宋" w:eastAsia="仿宋" w:cs="仿宋"/>
          <w:sz w:val="24"/>
        </w:rPr>
      </w:pPr>
      <w:r>
        <w:rPr>
          <w:rFonts w:hint="eastAsia" w:ascii="仿宋" w:hAnsi="仿宋" w:eastAsia="仿宋" w:cs="仿宋"/>
          <w:sz w:val="24"/>
        </w:rPr>
        <w:t>地址：重庆市渝北区杨柳北路1号     地址：</w:t>
      </w:r>
    </w:p>
    <w:p>
      <w:pPr>
        <w:spacing w:line="480" w:lineRule="exact"/>
        <w:ind w:firstLine="480" w:firstLineChars="200"/>
        <w:rPr>
          <w:rFonts w:ascii="仿宋" w:hAnsi="仿宋" w:eastAsia="仿宋" w:cs="仿宋"/>
          <w:sz w:val="24"/>
        </w:rPr>
      </w:pPr>
      <w:r>
        <w:rPr>
          <w:rFonts w:hint="eastAsia" w:ascii="仿宋" w:hAnsi="仿宋" w:eastAsia="仿宋" w:cs="仿宋"/>
          <w:sz w:val="24"/>
        </w:rPr>
        <w:t>日期：                             日期</w:t>
      </w:r>
    </w:p>
    <w:p>
      <w:pPr>
        <w:adjustRightInd w:val="0"/>
        <w:snapToGrid w:val="0"/>
        <w:spacing w:line="480" w:lineRule="exact"/>
        <w:jc w:val="center"/>
        <w:rPr>
          <w:rFonts w:ascii="微软雅黑" w:hAnsi="微软雅黑" w:eastAsia="微软雅黑" w:cs="宋体"/>
          <w:color w:val="000000" w:themeColor="text1"/>
          <w:kern w:val="0"/>
          <w:szCs w:val="21"/>
          <w14:textFill>
            <w14:solidFill>
              <w14:schemeClr w14:val="tx1"/>
            </w14:solidFill>
          </w14:textFill>
        </w:rPr>
      </w:pPr>
    </w:p>
    <w:p>
      <w:pPr>
        <w:spacing w:line="360" w:lineRule="auto"/>
        <w:rPr>
          <w:rFonts w:ascii="微软雅黑" w:hAnsi="微软雅黑" w:eastAsia="微软雅黑" w:cs="宋体"/>
          <w:color w:val="000000" w:themeColor="text1"/>
          <w:kern w:val="0"/>
          <w:szCs w:val="21"/>
          <w14:textFill>
            <w14:solidFill>
              <w14:schemeClr w14:val="tx1"/>
            </w14:solidFill>
          </w14:textFill>
        </w:rPr>
      </w:pPr>
    </w:p>
    <w:p>
      <w:pPr>
        <w:pStyle w:val="2"/>
        <w:keepLines w:val="0"/>
        <w:widowControl w:val="0"/>
        <w:tabs>
          <w:tab w:val="left" w:pos="1530"/>
          <w:tab w:val="left" w:pos="3360"/>
          <w:tab w:val="left" w:pos="8052"/>
        </w:tabs>
        <w:adjustRightInd/>
        <w:spacing w:line="480" w:lineRule="auto"/>
        <w:ind w:left="1531" w:hanging="1531"/>
        <w:rPr>
          <w:rFonts w:ascii="微软雅黑" w:hAnsi="微软雅黑" w:eastAsia="微软雅黑"/>
          <w:bCs w:val="0"/>
          <w:color w:val="000000" w:themeColor="text1"/>
          <w:kern w:val="2"/>
          <w:szCs w:val="36"/>
          <w14:textFill>
            <w14:solidFill>
              <w14:schemeClr w14:val="tx1"/>
            </w14:solidFill>
          </w14:textFill>
        </w:rPr>
      </w:pPr>
      <w:bookmarkStart w:id="53" w:name="_Toc11957"/>
    </w:p>
    <w:p>
      <w:pPr>
        <w:pStyle w:val="2"/>
        <w:keepLines w:val="0"/>
        <w:widowControl w:val="0"/>
        <w:tabs>
          <w:tab w:val="left" w:pos="1530"/>
          <w:tab w:val="left" w:pos="3360"/>
          <w:tab w:val="left" w:pos="8052"/>
        </w:tabs>
        <w:adjustRightInd/>
        <w:spacing w:line="480" w:lineRule="auto"/>
        <w:ind w:left="1531" w:hanging="1531"/>
        <w:rPr>
          <w:rFonts w:ascii="微软雅黑" w:hAnsi="微软雅黑" w:eastAsia="微软雅黑"/>
          <w:bCs w:val="0"/>
          <w:color w:val="000000" w:themeColor="text1"/>
          <w:kern w:val="2"/>
          <w:szCs w:val="36"/>
          <w14:textFill>
            <w14:solidFill>
              <w14:schemeClr w14:val="tx1"/>
            </w14:solidFill>
          </w14:textFill>
        </w:rPr>
      </w:pPr>
      <w:r>
        <w:rPr>
          <w:rFonts w:hint="eastAsia" w:ascii="微软雅黑" w:hAnsi="微软雅黑" w:eastAsia="微软雅黑"/>
          <w:bCs w:val="0"/>
          <w:color w:val="000000" w:themeColor="text1"/>
          <w:kern w:val="2"/>
          <w:szCs w:val="36"/>
          <w14:textFill>
            <w14:solidFill>
              <w14:schemeClr w14:val="tx1"/>
            </w14:solidFill>
          </w14:textFill>
        </w:rPr>
        <w:t>第</w:t>
      </w:r>
      <w:r>
        <w:rPr>
          <w:rFonts w:ascii="微软雅黑" w:hAnsi="微软雅黑" w:eastAsia="微软雅黑"/>
          <w:bCs w:val="0"/>
          <w:color w:val="000000" w:themeColor="text1"/>
          <w:kern w:val="2"/>
          <w:szCs w:val="36"/>
          <w14:textFill>
            <w14:solidFill>
              <w14:schemeClr w14:val="tx1"/>
            </w14:solidFill>
          </w14:textFill>
        </w:rPr>
        <w:t>四章</w:t>
      </w:r>
      <w:r>
        <w:rPr>
          <w:rFonts w:hint="eastAsia" w:ascii="微软雅黑" w:hAnsi="微软雅黑" w:eastAsia="微软雅黑"/>
          <w:bCs w:val="0"/>
          <w:color w:val="000000" w:themeColor="text1"/>
          <w:kern w:val="2"/>
          <w:szCs w:val="36"/>
          <w14:textFill>
            <w14:solidFill>
              <w14:schemeClr w14:val="tx1"/>
            </w14:solidFill>
          </w14:textFill>
        </w:rPr>
        <w:t>项目需求及说明</w:t>
      </w:r>
      <w:bookmarkEnd w:id="53"/>
    </w:p>
    <w:bookmarkEnd w:id="51"/>
    <w:bookmarkEnd w:id="52"/>
    <w:p>
      <w:pPr>
        <w:spacing w:line="440" w:lineRule="exact"/>
        <w:ind w:firstLine="480" w:firstLineChars="200"/>
        <w:jc w:val="both"/>
        <w:rPr>
          <w:rFonts w:ascii="微软雅黑" w:hAnsi="微软雅黑" w:eastAsia="微软雅黑"/>
          <w:b/>
          <w:color w:val="000000" w:themeColor="text1"/>
          <w:sz w:val="24"/>
          <w14:textFill>
            <w14:solidFill>
              <w14:schemeClr w14:val="tx1"/>
            </w14:solidFill>
          </w14:textFill>
        </w:rPr>
      </w:pPr>
      <w:bookmarkStart w:id="54" w:name="_Hlk111475022"/>
      <w:r>
        <w:rPr>
          <w:rFonts w:hint="eastAsia" w:ascii="微软雅黑" w:hAnsi="微软雅黑" w:eastAsia="微软雅黑"/>
          <w:b/>
          <w:color w:val="000000" w:themeColor="text1"/>
          <w:sz w:val="24"/>
          <w14:textFill>
            <w14:solidFill>
              <w14:schemeClr w14:val="tx1"/>
            </w14:solidFill>
          </w14:textFill>
        </w:rPr>
        <w:t>一、项目名称</w:t>
      </w:r>
    </w:p>
    <w:bookmarkEnd w:id="54"/>
    <w:p>
      <w:pPr>
        <w:snapToGrid w:val="0"/>
        <w:spacing w:line="440" w:lineRule="exact"/>
        <w:ind w:firstLine="420" w:firstLineChars="200"/>
        <w:rPr>
          <w:rFonts w:ascii="微软雅黑" w:hAnsi="微软雅黑" w:eastAsia="微软雅黑" w:cs="宋体"/>
          <w:color w:val="000000" w:themeColor="text1"/>
          <w:kern w:val="0"/>
          <w:szCs w:val="21"/>
          <w14:textFill>
            <w14:solidFill>
              <w14:schemeClr w14:val="tx1"/>
            </w14:solidFill>
          </w14:textFill>
        </w:rPr>
      </w:pPr>
      <w:r>
        <w:rPr>
          <w:rFonts w:hint="eastAsia" w:ascii="微软雅黑" w:hAnsi="微软雅黑" w:eastAsia="微软雅黑" w:cs="宋体"/>
          <w:color w:val="000000" w:themeColor="text1"/>
          <w:kern w:val="0"/>
          <w:szCs w:val="21"/>
          <w14:textFill>
            <w14:solidFill>
              <w14:schemeClr w14:val="tx1"/>
            </w14:solidFill>
          </w14:textFill>
        </w:rPr>
        <w:t>院本部部分实验室改造项目</w:t>
      </w:r>
    </w:p>
    <w:p>
      <w:pPr>
        <w:snapToGrid w:val="0"/>
        <w:spacing w:line="440" w:lineRule="exact"/>
        <w:ind w:firstLine="480" w:firstLineChars="200"/>
        <w:rPr>
          <w:rFonts w:ascii="微软雅黑" w:hAnsi="微软雅黑" w:eastAsia="微软雅黑" w:cs="宋体"/>
          <w:color w:val="000000" w:themeColor="text1"/>
          <w:kern w:val="0"/>
          <w:szCs w:val="21"/>
          <w14:textFill>
            <w14:solidFill>
              <w14:schemeClr w14:val="tx1"/>
            </w14:solidFill>
          </w14:textFill>
        </w:rPr>
      </w:pPr>
      <w:r>
        <w:rPr>
          <w:rFonts w:hint="eastAsia" w:ascii="微软雅黑" w:hAnsi="微软雅黑" w:eastAsia="微软雅黑"/>
          <w:b/>
          <w:color w:val="000000" w:themeColor="text1"/>
          <w:sz w:val="24"/>
          <w14:textFill>
            <w14:solidFill>
              <w14:schemeClr w14:val="tx1"/>
            </w14:solidFill>
          </w14:textFill>
        </w:rPr>
        <w:t>二、项目需求</w:t>
      </w:r>
    </w:p>
    <w:p>
      <w:pPr>
        <w:spacing w:line="400" w:lineRule="exact"/>
        <w:ind w:firstLine="482" w:firstLineChars="200"/>
        <w:rPr>
          <w:rFonts w:ascii="宋体" w:hAnsi="宋体"/>
          <w:sz w:val="24"/>
        </w:rPr>
      </w:pPr>
      <w:r>
        <w:rPr>
          <w:rFonts w:hint="eastAsia" w:ascii="宋体" w:hAnsi="宋体"/>
          <w:b/>
          <w:bCs/>
          <w:sz w:val="24"/>
        </w:rPr>
        <w:t>（一）项目概述</w:t>
      </w:r>
    </w:p>
    <w:p>
      <w:pPr>
        <w:spacing w:line="440" w:lineRule="exact"/>
        <w:ind w:firstLine="480" w:firstLineChars="200"/>
        <w:jc w:val="both"/>
        <w:rPr>
          <w:rFonts w:ascii="宋体" w:hAnsi="宋体"/>
          <w:sz w:val="24"/>
        </w:rPr>
      </w:pPr>
      <w:r>
        <w:rPr>
          <w:rFonts w:hint="eastAsia" w:ascii="宋体" w:hAnsi="宋体"/>
          <w:sz w:val="24"/>
        </w:rPr>
        <w:t>本次改造内容：计量楼3楼317对面原质检库房、质检楼121、113、114、115、116实验室筑主体及室内维修，包括墙面、地面、吊顶、门窗翻新修补，区域隔断调整、空间重新划分，适配不同工位、库房、办公区等功能分区使用需求；</w:t>
      </w:r>
    </w:p>
    <w:p>
      <w:pPr>
        <w:spacing w:line="440" w:lineRule="exact"/>
        <w:ind w:firstLine="480" w:firstLineChars="200"/>
        <w:jc w:val="both"/>
        <w:rPr>
          <w:rFonts w:ascii="微软雅黑" w:hAnsi="微软雅黑" w:eastAsia="微软雅黑"/>
          <w:bCs/>
          <w:color w:val="000000" w:themeColor="text1"/>
          <w:sz w:val="24"/>
          <w14:textFill>
            <w14:solidFill>
              <w14:schemeClr w14:val="tx1"/>
            </w14:solidFill>
          </w14:textFill>
        </w:rPr>
      </w:pPr>
      <w:r>
        <w:rPr>
          <w:rFonts w:hint="eastAsia" w:ascii="微软雅黑" w:hAnsi="微软雅黑" w:eastAsia="微软雅黑"/>
          <w:bCs/>
          <w:color w:val="000000" w:themeColor="text1"/>
          <w:sz w:val="24"/>
          <w14:textFill>
            <w14:solidFill>
              <w14:schemeClr w14:val="tx1"/>
            </w14:solidFill>
          </w14:textFill>
        </w:rPr>
        <w:t>1、质检楼121室：拆除所有试验台，外墙侧墙面窗台以下贴墙砖，其它所有室内墙面重新涂刷白色乳胶漆，地面铺设同质透心地胶，修复入户门框、靠过道及相邻房间窗框（如有损坏）、靠过道及相邻房间窗框安装窗帘，更换600*600LED顶灯，8人工位电源布线、安装插座；</w:t>
      </w:r>
    </w:p>
    <w:p>
      <w:pPr>
        <w:spacing w:line="440" w:lineRule="exact"/>
        <w:ind w:firstLine="480" w:firstLineChars="200"/>
        <w:jc w:val="both"/>
        <w:rPr>
          <w:rFonts w:ascii="微软雅黑" w:hAnsi="微软雅黑" w:eastAsia="微软雅黑"/>
          <w:bCs/>
          <w:color w:val="000000" w:themeColor="text1"/>
          <w:sz w:val="24"/>
          <w14:textFill>
            <w14:solidFill>
              <w14:schemeClr w14:val="tx1"/>
            </w14:solidFill>
          </w14:textFill>
        </w:rPr>
      </w:pPr>
      <w:r>
        <w:rPr>
          <w:rFonts w:hint="eastAsia" w:ascii="微软雅黑" w:hAnsi="微软雅黑" w:eastAsia="微软雅黑"/>
          <w:bCs/>
          <w:color w:val="000000" w:themeColor="text1"/>
          <w:sz w:val="24"/>
          <w14:textFill>
            <w14:solidFill>
              <w14:schemeClr w14:val="tx1"/>
            </w14:solidFill>
          </w14:textFill>
        </w:rPr>
        <w:t>2、质检楼116室：拆除试验台，所有墙面重新涂刷白色乳胶漆，靠过道玻璃安装窗帘，靠外墙玻璃贴磨砂膜，门框、窗框修复（如有损坏），地面坑洞填平、铺设同质透心地胶，更换600*600LED顶灯，更换机械门锁；</w:t>
      </w:r>
    </w:p>
    <w:p>
      <w:pPr>
        <w:spacing w:line="440" w:lineRule="exact"/>
        <w:ind w:firstLine="480" w:firstLineChars="200"/>
        <w:jc w:val="both"/>
        <w:rPr>
          <w:rFonts w:ascii="微软雅黑" w:hAnsi="微软雅黑" w:eastAsia="微软雅黑"/>
          <w:bCs/>
          <w:color w:val="000000" w:themeColor="text1"/>
          <w:sz w:val="24"/>
          <w14:textFill>
            <w14:solidFill>
              <w14:schemeClr w14:val="tx1"/>
            </w14:solidFill>
          </w14:textFill>
        </w:rPr>
      </w:pPr>
      <w:r>
        <w:rPr>
          <w:rFonts w:hint="eastAsia" w:ascii="微软雅黑" w:hAnsi="微软雅黑" w:eastAsia="微软雅黑"/>
          <w:bCs/>
          <w:color w:val="000000" w:themeColor="text1"/>
          <w:sz w:val="24"/>
          <w14:textFill>
            <w14:solidFill>
              <w14:schemeClr w14:val="tx1"/>
            </w14:solidFill>
          </w14:textFill>
        </w:rPr>
        <w:t>3、113、114、115室：拆除内部隔墙，靠过道玻璃安装窗帘，靠外墙玻璃贴磨砂膜，所有墙面重新涂刷白色乳胶漆，地面铺设同质透心地胶，门框、窗框修复（如有损坏），更换600*600LED顶灯；</w:t>
      </w:r>
    </w:p>
    <w:p>
      <w:pPr>
        <w:numPr>
          <w:ilvl w:val="0"/>
          <w:numId w:val="1"/>
        </w:numPr>
        <w:spacing w:line="440" w:lineRule="exact"/>
        <w:ind w:firstLine="480" w:firstLineChars="200"/>
        <w:jc w:val="both"/>
        <w:rPr>
          <w:rFonts w:ascii="微软雅黑" w:hAnsi="微软雅黑" w:eastAsia="微软雅黑"/>
          <w:b/>
          <w:color w:val="000000" w:themeColor="text1"/>
          <w:sz w:val="24"/>
          <w14:textFill>
            <w14:solidFill>
              <w14:schemeClr w14:val="tx1"/>
            </w14:solidFill>
          </w14:textFill>
        </w:rPr>
      </w:pPr>
      <w:r>
        <w:rPr>
          <w:rFonts w:hint="eastAsia" w:ascii="微软雅黑" w:hAnsi="微软雅黑" w:eastAsia="微软雅黑"/>
          <w:bCs/>
          <w:color w:val="000000" w:themeColor="text1"/>
          <w:sz w:val="24"/>
          <w14:textFill>
            <w14:solidFill>
              <w14:schemeClr w14:val="tx1"/>
            </w14:solidFill>
          </w14:textFill>
        </w:rPr>
        <w:t>计量楼3楼317对面原质检库房共3间，所有墙面修复粉刷，所有地面清洁污渍，更换600*600LED顶灯，封堵较大房间与较小房用间的连接门，较大间用石膏板轻质隔墙平均分为两间，隔墙两侧各排布3组多孔位电源插座，隔墙左侧对墙增加2组多孔位电源插座，其余墙面各增加1组多孔位电源插座，安装1套洗手池及相应给排水。</w:t>
      </w:r>
    </w:p>
    <w:p>
      <w:pPr>
        <w:spacing w:line="400" w:lineRule="exact"/>
        <w:ind w:firstLine="482" w:firstLineChars="200"/>
        <w:rPr>
          <w:rFonts w:ascii="宋体" w:hAnsi="宋体"/>
          <w:b/>
          <w:bCs/>
          <w:sz w:val="24"/>
        </w:rPr>
      </w:pPr>
      <w:bookmarkStart w:id="55" w:name="_Toc165280349"/>
      <w:r>
        <w:rPr>
          <w:rFonts w:hint="eastAsia" w:ascii="宋体" w:hAnsi="宋体"/>
          <w:b/>
          <w:bCs/>
          <w:sz w:val="24"/>
        </w:rPr>
        <w:t>（二）项目质量要求</w:t>
      </w:r>
    </w:p>
    <w:p>
      <w:pPr>
        <w:spacing w:line="400" w:lineRule="exact"/>
        <w:ind w:firstLine="480" w:firstLineChars="200"/>
        <w:rPr>
          <w:rFonts w:ascii="宋体" w:hAnsi="宋体"/>
          <w:sz w:val="24"/>
        </w:rPr>
      </w:pPr>
      <w:r>
        <w:rPr>
          <w:rFonts w:hint="eastAsia" w:ascii="宋体" w:hAnsi="宋体"/>
          <w:sz w:val="24"/>
        </w:rPr>
        <w:t>符合强制性质量标准，符合国家和重庆市现行有关施工质量验收规范要求，并达到合格标准。</w:t>
      </w:r>
    </w:p>
    <w:bookmarkEnd w:id="55"/>
    <w:p>
      <w:pPr>
        <w:spacing w:line="400" w:lineRule="exact"/>
        <w:ind w:firstLine="482" w:firstLineChars="200"/>
        <w:rPr>
          <w:rFonts w:ascii="宋体" w:hAnsi="宋体"/>
          <w:b/>
          <w:bCs/>
          <w:sz w:val="24"/>
        </w:rPr>
      </w:pPr>
      <w:r>
        <w:rPr>
          <w:rFonts w:hint="eastAsia" w:ascii="宋体" w:hAnsi="宋体"/>
          <w:b/>
          <w:bCs/>
          <w:sz w:val="24"/>
        </w:rPr>
        <w:t>（三）人员要求</w:t>
      </w:r>
    </w:p>
    <w:p>
      <w:pPr>
        <w:spacing w:line="400" w:lineRule="exact"/>
        <w:ind w:firstLine="480" w:firstLineChars="200"/>
        <w:rPr>
          <w:rFonts w:ascii="宋体" w:hAnsi="宋体"/>
          <w:sz w:val="24"/>
        </w:rPr>
      </w:pPr>
      <w:r>
        <w:rPr>
          <w:rFonts w:hint="eastAsia" w:ascii="宋体" w:hAnsi="宋体"/>
          <w:sz w:val="24"/>
        </w:rPr>
        <w:t>1、专职安全生产管理人员：1人</w:t>
      </w:r>
    </w:p>
    <w:p>
      <w:pPr>
        <w:spacing w:line="400" w:lineRule="exact"/>
        <w:ind w:firstLine="480" w:firstLineChars="200"/>
        <w:rPr>
          <w:rFonts w:ascii="宋体" w:hAnsi="宋体"/>
          <w:sz w:val="24"/>
        </w:rPr>
      </w:pPr>
      <w:r>
        <w:rPr>
          <w:rFonts w:ascii="宋体" w:hAnsi="宋体"/>
          <w:sz w:val="24"/>
        </w:rPr>
        <w:t>拟派专职安全生产管理人员须持有建设行政主管部门颁发的有效</w:t>
      </w:r>
      <w:r>
        <w:rPr>
          <w:rFonts w:hint="eastAsia" w:ascii="宋体" w:hAnsi="宋体"/>
          <w:sz w:val="24"/>
        </w:rPr>
        <w:t>的</w:t>
      </w:r>
      <w:r>
        <w:rPr>
          <w:rFonts w:ascii="宋体" w:hAnsi="宋体"/>
          <w:sz w:val="24"/>
        </w:rPr>
        <w:t>建筑施工企业安全生产考核合格证书（C 类），</w:t>
      </w:r>
      <w:r>
        <w:rPr>
          <w:rFonts w:hint="eastAsia" w:ascii="宋体" w:hAnsi="宋体"/>
          <w:sz w:val="24"/>
        </w:rPr>
        <w:t>且</w:t>
      </w:r>
      <w:r>
        <w:rPr>
          <w:rFonts w:ascii="宋体" w:hAnsi="宋体"/>
          <w:sz w:val="24"/>
        </w:rPr>
        <w:t>证书在有效期内</w:t>
      </w:r>
      <w:r>
        <w:rPr>
          <w:rFonts w:hint="eastAsia" w:ascii="宋体" w:hAnsi="宋体"/>
          <w:sz w:val="24"/>
        </w:rPr>
        <w:t>。</w:t>
      </w:r>
    </w:p>
    <w:p>
      <w:pPr>
        <w:spacing w:line="400" w:lineRule="exact"/>
        <w:ind w:firstLine="482" w:firstLineChars="200"/>
        <w:rPr>
          <w:rFonts w:ascii="宋体" w:hAnsi="宋体"/>
          <w:b/>
          <w:bCs/>
          <w:sz w:val="24"/>
        </w:rPr>
      </w:pPr>
      <w:r>
        <w:rPr>
          <w:rFonts w:hint="eastAsia" w:ascii="宋体" w:hAnsi="宋体"/>
          <w:b/>
          <w:bCs/>
          <w:sz w:val="24"/>
        </w:rPr>
        <w:t>【须在响应文件中提供专职安全生产管理人员有效的身份证复印件、安全生产考核合格证书复印件、供应商为其缴纳的2026年任意一个月社保证明材料复印件（如因供应商成立时间不足2个月的可用劳动合同代替缴纳社保的证明材料），并加盖供应商公章，社保证明材料须带有社保部门公章或社保部门有效的电子印章】</w:t>
      </w:r>
    </w:p>
    <w:p>
      <w:pPr>
        <w:spacing w:line="400" w:lineRule="exact"/>
        <w:ind w:firstLine="480" w:firstLineChars="200"/>
        <w:rPr>
          <w:rFonts w:ascii="宋体" w:hAnsi="宋体"/>
          <w:b/>
          <w:bCs/>
          <w:sz w:val="24"/>
        </w:rPr>
      </w:pPr>
      <w:r>
        <w:rPr>
          <w:rFonts w:hint="eastAsia" w:ascii="宋体" w:hAnsi="宋体"/>
          <w:sz w:val="24"/>
        </w:rPr>
        <w:t>2、供应商自行承诺：成交后拟派的专职安全生产管理人员未经采购人同意，不得变更，施工期间本项目的专职安全生产管理人员必须在场，否则采购人有权取消其成交资格。</w:t>
      </w:r>
      <w:r>
        <w:rPr>
          <w:rFonts w:hint="eastAsia" w:ascii="宋体" w:hAnsi="宋体"/>
          <w:b/>
          <w:bCs/>
          <w:sz w:val="24"/>
        </w:rPr>
        <w:t>（格式自拟，须单独承诺）</w:t>
      </w:r>
    </w:p>
    <w:p>
      <w:pPr>
        <w:spacing w:line="400" w:lineRule="exact"/>
        <w:ind w:firstLine="480" w:firstLineChars="200"/>
        <w:rPr>
          <w:rFonts w:ascii="宋体" w:hAnsi="宋体"/>
          <w:sz w:val="24"/>
        </w:rPr>
      </w:pPr>
      <w:r>
        <w:rPr>
          <w:rFonts w:hint="eastAsia" w:ascii="宋体" w:hAnsi="宋体"/>
          <w:sz w:val="24"/>
        </w:rPr>
        <w:t>注：供应商应对上述提供资料的真实性负责。采购人有权要求成交供应商在签订合同前提供原件复核，若在结果公示期间发现成交供应商提供了虚假资料，采购人有权取消其成交资格；若在合同实施期间发现供应商提供了虚假资料，采购人有权没收其履约保证金，同时将上报主管部门作为不良记录，并追究其相应的法律责任。</w:t>
      </w:r>
    </w:p>
    <w:p>
      <w:pPr>
        <w:spacing w:line="400" w:lineRule="exact"/>
        <w:ind w:firstLine="482" w:firstLineChars="200"/>
        <w:rPr>
          <w:rFonts w:ascii="宋体" w:hAnsi="宋体"/>
          <w:b/>
          <w:bCs/>
          <w:sz w:val="24"/>
        </w:rPr>
      </w:pPr>
      <w:r>
        <w:rPr>
          <w:rFonts w:hint="eastAsia" w:ascii="宋体" w:hAnsi="宋体"/>
          <w:b/>
          <w:bCs/>
          <w:sz w:val="24"/>
        </w:rPr>
        <w:t>（四）信誉要求</w:t>
      </w:r>
    </w:p>
    <w:p>
      <w:pPr>
        <w:spacing w:line="400" w:lineRule="exact"/>
        <w:ind w:firstLine="480" w:firstLineChars="200"/>
        <w:rPr>
          <w:rFonts w:ascii="宋体" w:hAnsi="宋体"/>
          <w:sz w:val="24"/>
        </w:rPr>
      </w:pPr>
      <w:bookmarkStart w:id="56" w:name="_Toc194929814"/>
      <w:bookmarkStart w:id="57" w:name="_Toc190705766"/>
      <w:bookmarkStart w:id="58" w:name="_Toc194913278"/>
      <w:bookmarkStart w:id="59" w:name="_Toc194913212"/>
      <w:bookmarkStart w:id="60" w:name="_Toc194928385"/>
      <w:r>
        <w:rPr>
          <w:rFonts w:ascii="宋体" w:hAnsi="宋体"/>
          <w:sz w:val="24"/>
        </w:rPr>
        <w:t>供应商自行承诺不得存在下列情形之一：</w:t>
      </w:r>
      <w:bookmarkEnd w:id="56"/>
      <w:bookmarkEnd w:id="57"/>
      <w:bookmarkEnd w:id="58"/>
      <w:bookmarkEnd w:id="59"/>
      <w:bookmarkEnd w:id="60"/>
    </w:p>
    <w:p>
      <w:pPr>
        <w:spacing w:line="400" w:lineRule="exact"/>
        <w:ind w:firstLine="480" w:firstLineChars="200"/>
        <w:rPr>
          <w:rFonts w:ascii="宋体" w:hAnsi="宋体"/>
          <w:sz w:val="24"/>
        </w:rPr>
      </w:pPr>
      <w:r>
        <w:rPr>
          <w:rFonts w:ascii="宋体" w:hAnsi="宋体"/>
          <w:sz w:val="24"/>
        </w:rPr>
        <w:t>1、被人民法院列入失信被执行人名单且在被执行期内；</w:t>
      </w:r>
    </w:p>
    <w:p>
      <w:pPr>
        <w:spacing w:line="400" w:lineRule="exact"/>
        <w:ind w:firstLine="480" w:firstLineChars="200"/>
        <w:rPr>
          <w:rFonts w:ascii="宋体" w:hAnsi="宋体"/>
          <w:sz w:val="24"/>
        </w:rPr>
      </w:pPr>
      <w:r>
        <w:rPr>
          <w:rFonts w:ascii="宋体" w:hAnsi="宋体"/>
          <w:sz w:val="24"/>
        </w:rPr>
        <w:t>2、被国家、重庆市（含市或任意区县）有关行政部门处以暂停投标资格行政处罚或暂停在渝承揽新业务，且在暂停期限内；</w:t>
      </w:r>
    </w:p>
    <w:p>
      <w:pPr>
        <w:spacing w:line="400" w:lineRule="exact"/>
        <w:ind w:firstLine="482" w:firstLineChars="200"/>
        <w:rPr>
          <w:rFonts w:ascii="宋体" w:hAnsi="宋体"/>
          <w:b/>
          <w:bCs/>
          <w:sz w:val="24"/>
        </w:rPr>
      </w:pPr>
      <w:r>
        <w:rPr>
          <w:rFonts w:ascii="宋体" w:hAnsi="宋体"/>
          <w:b/>
          <w:bCs/>
          <w:sz w:val="24"/>
        </w:rPr>
        <w:t>供应商须对以上内容进行承诺并加盖供应商公章，承诺格式自拟，未按要求提供承诺的按无效响应处理。</w:t>
      </w:r>
    </w:p>
    <w:p>
      <w:pPr>
        <w:snapToGrid w:val="0"/>
        <w:spacing w:line="400" w:lineRule="exact"/>
        <w:ind w:firstLine="482" w:firstLineChars="200"/>
        <w:outlineLvl w:val="2"/>
        <w:rPr>
          <w:rFonts w:ascii="宋体" w:hAnsi="宋体" w:cs="宋体"/>
          <w:b/>
          <w:bCs/>
          <w:sz w:val="24"/>
        </w:rPr>
      </w:pPr>
      <w:r>
        <w:rPr>
          <w:rFonts w:hint="eastAsia" w:ascii="宋体" w:hAnsi="宋体" w:cs="宋体"/>
          <w:b/>
          <w:bCs/>
          <w:sz w:val="24"/>
        </w:rPr>
        <w:t>（五）现场踏勘</w:t>
      </w:r>
    </w:p>
    <w:p>
      <w:pPr>
        <w:spacing w:line="400" w:lineRule="exact"/>
        <w:ind w:firstLine="480" w:firstLineChars="200"/>
        <w:rPr>
          <w:rFonts w:ascii="宋体" w:hAnsi="宋体"/>
          <w:sz w:val="24"/>
        </w:rPr>
      </w:pPr>
      <w:r>
        <w:rPr>
          <w:rFonts w:hint="eastAsia" w:ascii="宋体" w:hAnsi="宋体"/>
          <w:sz w:val="24"/>
        </w:rPr>
        <w:t>供应商自行前往现场踏勘以充分了解施工现场环境和潜在风险。踏勘现场所发生的所有费用（包含因踏勘现场而造成的死亡、人身伤害、财产损失和产生的其他费用）均由供应商自行承担。无论供应商是否踏勘过现场，均视为在响应截止时间之前踏勘过现场且对本项目潜在的风险和义务已完全了解，并在其响应文件中已充分考虑了本项目可能面临的不确定因素可能导致的风险。成交供应商不得以不完全了解施工现场情况为借口而提出延长工期或额外赔偿等要求。</w:t>
      </w:r>
    </w:p>
    <w:p>
      <w:pPr>
        <w:pStyle w:val="3"/>
        <w:spacing w:line="400" w:lineRule="exact"/>
        <w:ind w:firstLine="482" w:firstLineChars="200"/>
        <w:jc w:val="both"/>
        <w:rPr>
          <w:rFonts w:ascii="宋体" w:hAnsi="宋体" w:cs="宋体"/>
          <w:lang w:val="zh-CN"/>
        </w:rPr>
      </w:pPr>
      <w:bookmarkStart w:id="61" w:name="_Toc165280350"/>
      <w:bookmarkStart w:id="62" w:name="_Toc108702729"/>
      <w:bookmarkStart w:id="63" w:name="_Toc2832"/>
      <w:r>
        <w:rPr>
          <w:rFonts w:hint="eastAsia" w:ascii="宋体" w:hAnsi="宋体" w:cs="宋体"/>
        </w:rPr>
        <w:t>三、</w:t>
      </w:r>
      <w:r>
        <w:rPr>
          <w:rFonts w:hint="eastAsia" w:ascii="宋体" w:hAnsi="宋体" w:cs="宋体"/>
          <w:lang w:val="zh-CN"/>
        </w:rPr>
        <w:t>安全要求</w:t>
      </w:r>
      <w:bookmarkEnd w:id="61"/>
      <w:bookmarkEnd w:id="62"/>
      <w:bookmarkEnd w:id="63"/>
    </w:p>
    <w:p>
      <w:pPr>
        <w:spacing w:line="400" w:lineRule="exact"/>
        <w:ind w:firstLine="480" w:firstLineChars="200"/>
        <w:rPr>
          <w:rFonts w:ascii="宋体" w:hAnsi="宋体"/>
          <w:sz w:val="24"/>
        </w:rPr>
      </w:pPr>
      <w:bookmarkStart w:id="64" w:name="_Toc107300161"/>
      <w:r>
        <w:rPr>
          <w:rFonts w:hint="eastAsia" w:ascii="宋体" w:hAnsi="宋体"/>
          <w:sz w:val="24"/>
        </w:rPr>
        <w:t>（一）供应商应遵守安全生产的有关管理规定，严格按照安全标准组织实施，采取必要的安全防护措施，消除隐患。供应商对施工安全（包含但不仅限于施工现场及施工周边的施工人身安全、行人安全等）负责，若发生安全事故及造成的经济损失，一切责任由供应商全部承担，采购人不承担任何责任。在施工过程中，供应商须做到安全施工、文明施工，必要时并做好相应的施工安全公告及警戒标识，施工过程中发生的一切安全事故由供应商自行负责处理。供应商应当与其施工人员建立劳动关系，承担全部用人用工主体责任。</w:t>
      </w:r>
    </w:p>
    <w:p>
      <w:pPr>
        <w:spacing w:line="400" w:lineRule="exact"/>
        <w:ind w:firstLine="480" w:firstLineChars="200"/>
        <w:rPr>
          <w:rFonts w:ascii="宋体" w:hAnsi="宋体"/>
          <w:sz w:val="24"/>
        </w:rPr>
      </w:pPr>
      <w:r>
        <w:rPr>
          <w:rFonts w:hint="eastAsia" w:ascii="宋体" w:hAnsi="宋体"/>
          <w:sz w:val="24"/>
        </w:rPr>
        <w:t>（二）成交供应商负责对接相关部门，在规定的工期内，完成本项目包含的所有工程。</w:t>
      </w:r>
    </w:p>
    <w:p>
      <w:pPr>
        <w:spacing w:line="400" w:lineRule="exact"/>
        <w:ind w:firstLine="480" w:firstLineChars="200"/>
        <w:rPr>
          <w:rFonts w:ascii="宋体" w:hAnsi="宋体"/>
          <w:sz w:val="24"/>
        </w:rPr>
      </w:pPr>
      <w:r>
        <w:rPr>
          <w:rFonts w:hint="eastAsia" w:ascii="宋体" w:hAnsi="宋体"/>
          <w:sz w:val="24"/>
        </w:rPr>
        <w:t>（三）供应商应遵守各级部门相关保密规定，如因施工人员及管理人员造成失泄密事件，将对责任人及供应商依法追究责任。</w:t>
      </w:r>
    </w:p>
    <w:p>
      <w:pPr>
        <w:pStyle w:val="3"/>
        <w:spacing w:line="400" w:lineRule="exact"/>
        <w:ind w:firstLine="482" w:firstLineChars="200"/>
        <w:jc w:val="both"/>
        <w:rPr>
          <w:rFonts w:ascii="宋体" w:hAnsi="宋体" w:cs="宋体"/>
        </w:rPr>
      </w:pPr>
      <w:bookmarkStart w:id="65" w:name="_Toc108702730"/>
      <w:bookmarkStart w:id="66" w:name="_Toc165280351"/>
      <w:bookmarkStart w:id="67" w:name="_Toc9728"/>
      <w:r>
        <w:rPr>
          <w:rFonts w:hint="eastAsia" w:ascii="宋体" w:hAnsi="宋体" w:cs="宋体"/>
        </w:rPr>
        <w:t>四</w:t>
      </w:r>
      <w:bookmarkEnd w:id="64"/>
      <w:bookmarkEnd w:id="65"/>
      <w:bookmarkEnd w:id="66"/>
      <w:r>
        <w:rPr>
          <w:rFonts w:hint="eastAsia" w:ascii="宋体" w:hAnsi="宋体" w:cs="宋体"/>
        </w:rPr>
        <w:t>、关于转、分包</w:t>
      </w:r>
      <w:bookmarkEnd w:id="67"/>
    </w:p>
    <w:p>
      <w:pPr>
        <w:spacing w:line="400" w:lineRule="exact"/>
        <w:ind w:firstLine="480" w:firstLineChars="200"/>
        <w:rPr>
          <w:rFonts w:ascii="微软雅黑" w:hAnsi="微软雅黑" w:eastAsia="微软雅黑"/>
          <w:b/>
          <w:color w:val="000000" w:themeColor="text1"/>
          <w:sz w:val="24"/>
          <w14:textFill>
            <w14:solidFill>
              <w14:schemeClr w14:val="tx1"/>
            </w14:solidFill>
          </w14:textFill>
        </w:rPr>
      </w:pPr>
      <w:r>
        <w:rPr>
          <w:rFonts w:hint="eastAsia" w:ascii="宋体" w:hAnsi="宋体"/>
          <w:sz w:val="24"/>
        </w:rPr>
        <w:t>成交供应商不得将本工程项目转、分包给第三方，如成交供应商将本工程项目转、分包给第三方的，采购人有权解除合同，同时采购人有权要求供应商按合同总金额的10%支付违约金，对采购人造成的其他一切损失应由供应商承担赔偿责任。</w:t>
      </w:r>
    </w:p>
    <w:p>
      <w:pPr>
        <w:spacing w:line="440" w:lineRule="exact"/>
        <w:ind w:firstLine="480" w:firstLineChars="200"/>
        <w:jc w:val="both"/>
        <w:rPr>
          <w:rFonts w:ascii="微软雅黑" w:hAnsi="微软雅黑" w:eastAsia="微软雅黑"/>
          <w:b/>
          <w:color w:val="000000" w:themeColor="text1"/>
          <w:sz w:val="24"/>
          <w14:textFill>
            <w14:solidFill>
              <w14:schemeClr w14:val="tx1"/>
            </w14:solidFill>
          </w14:textFill>
        </w:rPr>
      </w:pPr>
      <w:r>
        <w:rPr>
          <w:rFonts w:hint="eastAsia" w:ascii="微软雅黑" w:hAnsi="微软雅黑" w:eastAsia="微软雅黑"/>
          <w:b/>
          <w:color w:val="000000" w:themeColor="text1"/>
          <w:sz w:val="24"/>
          <w14:textFill>
            <w14:solidFill>
              <w14:schemeClr w14:val="tx1"/>
            </w14:solidFill>
          </w14:textFill>
        </w:rPr>
        <w:t>五、商务要求</w:t>
      </w:r>
    </w:p>
    <w:p>
      <w:pPr>
        <w:snapToGrid w:val="0"/>
        <w:spacing w:line="440" w:lineRule="exact"/>
        <w:ind w:firstLine="420" w:firstLineChars="200"/>
        <w:rPr>
          <w:rFonts w:ascii="微软雅黑" w:hAnsi="微软雅黑" w:eastAsia="微软雅黑"/>
          <w:color w:val="000000" w:themeColor="text1"/>
          <w:kern w:val="0"/>
          <w:szCs w:val="21"/>
          <w:highlight w:val="yellow"/>
          <w14:textFill>
            <w14:solidFill>
              <w14:schemeClr w14:val="tx1"/>
            </w14:solidFill>
          </w14:textFill>
        </w:rPr>
      </w:pPr>
      <w:r>
        <w:rPr>
          <w:rFonts w:hint="eastAsia" w:ascii="微软雅黑" w:hAnsi="微软雅黑" w:eastAsia="微软雅黑" w:cs="宋体"/>
          <w:b/>
          <w:color w:val="000000" w:themeColor="text1"/>
          <w:kern w:val="0"/>
          <w:szCs w:val="21"/>
          <w14:textFill>
            <w14:solidFill>
              <w14:schemeClr w14:val="tx1"/>
            </w14:solidFill>
          </w14:textFill>
        </w:rPr>
        <w:t>（一）施工周期：</w:t>
      </w:r>
      <w:r>
        <w:rPr>
          <w:rFonts w:hint="eastAsia" w:ascii="微软雅黑" w:hAnsi="微软雅黑" w:eastAsia="微软雅黑"/>
          <w:color w:val="000000" w:themeColor="text1"/>
          <w:szCs w:val="21"/>
          <w14:textFill>
            <w14:solidFill>
              <w14:schemeClr w14:val="tx1"/>
            </w14:solidFill>
          </w14:textFill>
        </w:rPr>
        <w:t>合同签订之日起</w:t>
      </w:r>
      <w:r>
        <w:rPr>
          <w:rFonts w:hint="eastAsia" w:ascii="微软雅黑" w:hAnsi="微软雅黑" w:eastAsia="微软雅黑"/>
          <w:color w:val="000000" w:themeColor="text1"/>
          <w:szCs w:val="21"/>
          <w:lang w:val="en-US" w:eastAsia="zh-CN"/>
          <w14:textFill>
            <w14:solidFill>
              <w14:schemeClr w14:val="tx1"/>
            </w14:solidFill>
          </w14:textFill>
        </w:rPr>
        <w:t>25</w:t>
      </w:r>
      <w:r>
        <w:rPr>
          <w:rFonts w:hint="eastAsia" w:ascii="微软雅黑" w:hAnsi="微软雅黑" w:eastAsia="微软雅黑"/>
          <w:color w:val="000000" w:themeColor="text1"/>
          <w:szCs w:val="21"/>
          <w14:textFill>
            <w14:solidFill>
              <w14:schemeClr w14:val="tx1"/>
            </w14:solidFill>
          </w14:textFill>
        </w:rPr>
        <w:t>个自然日。</w:t>
      </w:r>
    </w:p>
    <w:p>
      <w:pPr>
        <w:tabs>
          <w:tab w:val="left" w:pos="3168"/>
        </w:tabs>
        <w:snapToGrid w:val="0"/>
        <w:spacing w:line="440" w:lineRule="exact"/>
        <w:ind w:firstLine="420" w:firstLineChars="200"/>
        <w:rPr>
          <w:rFonts w:ascii="微软雅黑" w:hAnsi="微软雅黑" w:eastAsia="微软雅黑" w:cs="宋体"/>
          <w:b/>
          <w:color w:val="000000" w:themeColor="text1"/>
          <w:kern w:val="0"/>
          <w:szCs w:val="21"/>
          <w14:textFill>
            <w14:solidFill>
              <w14:schemeClr w14:val="tx1"/>
            </w14:solidFill>
          </w14:textFill>
        </w:rPr>
      </w:pPr>
      <w:r>
        <w:rPr>
          <w:rFonts w:hint="eastAsia" w:ascii="微软雅黑" w:hAnsi="微软雅黑" w:eastAsia="微软雅黑" w:cs="宋体"/>
          <w:b/>
          <w:color w:val="000000" w:themeColor="text1"/>
          <w:kern w:val="0"/>
          <w:szCs w:val="21"/>
          <w14:textFill>
            <w14:solidFill>
              <w14:schemeClr w14:val="tx1"/>
            </w14:solidFill>
          </w14:textFill>
        </w:rPr>
        <w:t>（二）施工地点</w:t>
      </w:r>
    </w:p>
    <w:p>
      <w:pPr>
        <w:snapToGrid w:val="0"/>
        <w:spacing w:line="440" w:lineRule="exact"/>
        <w:ind w:firstLine="420" w:firstLineChars="200"/>
        <w:rPr>
          <w:rFonts w:ascii="微软雅黑" w:hAnsi="微软雅黑" w:eastAsia="微软雅黑" w:cs="宋体"/>
          <w:color w:val="FF0000"/>
          <w:kern w:val="0"/>
          <w:szCs w:val="21"/>
        </w:rPr>
      </w:pPr>
      <w:r>
        <w:rPr>
          <w:rFonts w:hint="eastAsia" w:ascii="微软雅黑" w:hAnsi="微软雅黑" w:eastAsia="微软雅黑" w:cs="宋体"/>
          <w:color w:val="auto"/>
          <w:kern w:val="0"/>
          <w:szCs w:val="21"/>
        </w:rPr>
        <w:t>施工地点：重庆市渝北区杨柳北路1号、3号</w:t>
      </w:r>
    </w:p>
    <w:p>
      <w:pPr>
        <w:snapToGrid w:val="0"/>
        <w:spacing w:line="440" w:lineRule="exact"/>
        <w:ind w:firstLine="420" w:firstLineChars="200"/>
        <w:rPr>
          <w:rFonts w:ascii="微软雅黑" w:hAnsi="微软雅黑" w:eastAsia="微软雅黑" w:cs="宋体"/>
          <w:b/>
          <w:color w:val="000000" w:themeColor="text1"/>
          <w:kern w:val="0"/>
          <w:szCs w:val="21"/>
          <w14:textFill>
            <w14:solidFill>
              <w14:schemeClr w14:val="tx1"/>
            </w14:solidFill>
          </w14:textFill>
        </w:rPr>
      </w:pPr>
      <w:r>
        <w:rPr>
          <w:rFonts w:hint="eastAsia" w:ascii="微软雅黑" w:hAnsi="微软雅黑" w:eastAsia="微软雅黑" w:cs="宋体"/>
          <w:b/>
          <w:color w:val="000000" w:themeColor="text1"/>
          <w:kern w:val="0"/>
          <w:szCs w:val="21"/>
          <w14:textFill>
            <w14:solidFill>
              <w14:schemeClr w14:val="tx1"/>
            </w14:solidFill>
          </w14:textFill>
        </w:rPr>
        <w:t>（三）验收方式</w:t>
      </w:r>
    </w:p>
    <w:p>
      <w:pPr>
        <w:snapToGrid w:val="0"/>
        <w:spacing w:line="440" w:lineRule="exact"/>
        <w:ind w:firstLine="420" w:firstLineChars="200"/>
        <w:rPr>
          <w:rFonts w:ascii="微软雅黑" w:hAnsi="微软雅黑" w:eastAsia="微软雅黑" w:cs="宋体"/>
          <w:color w:val="000000" w:themeColor="text1"/>
          <w:kern w:val="0"/>
          <w:szCs w:val="21"/>
          <w14:textFill>
            <w14:solidFill>
              <w14:schemeClr w14:val="tx1"/>
            </w14:solidFill>
          </w14:textFill>
        </w:rPr>
      </w:pPr>
      <w:r>
        <w:rPr>
          <w:rFonts w:hint="eastAsia" w:ascii="微软雅黑" w:hAnsi="微软雅黑" w:eastAsia="微软雅黑" w:cs="宋体"/>
          <w:color w:val="000000" w:themeColor="text1"/>
          <w:kern w:val="0"/>
          <w:szCs w:val="21"/>
          <w14:textFill>
            <w14:solidFill>
              <w14:schemeClr w14:val="tx1"/>
            </w14:solidFill>
          </w14:textFill>
        </w:rPr>
        <w:t>1.验收组织单位：重庆市计量质量检测研究院</w:t>
      </w:r>
    </w:p>
    <w:p>
      <w:pPr>
        <w:snapToGrid w:val="0"/>
        <w:spacing w:line="440" w:lineRule="exact"/>
        <w:ind w:firstLine="420" w:firstLineChars="200"/>
        <w:rPr>
          <w:rFonts w:ascii="微软雅黑" w:hAnsi="微软雅黑" w:eastAsia="微软雅黑" w:cs="宋体"/>
          <w:color w:val="000000" w:themeColor="text1"/>
          <w:kern w:val="0"/>
          <w:szCs w:val="21"/>
          <w14:textFill>
            <w14:solidFill>
              <w14:schemeClr w14:val="tx1"/>
            </w14:solidFill>
          </w14:textFill>
        </w:rPr>
      </w:pPr>
      <w:r>
        <w:rPr>
          <w:rFonts w:hint="eastAsia" w:ascii="微软雅黑" w:hAnsi="微软雅黑" w:eastAsia="微软雅黑" w:cs="宋体"/>
          <w:color w:val="000000" w:themeColor="text1"/>
          <w:kern w:val="0"/>
          <w:szCs w:val="21"/>
          <w14:textFill>
            <w14:solidFill>
              <w14:schemeClr w14:val="tx1"/>
            </w14:solidFill>
          </w14:textFill>
        </w:rPr>
        <w:t>2.验收标准：采购人按比选文件规定、合同约定进行验收，如验收达不到规定要求，成交供应商应立即进行整改，整改后仍不合格的，则视为验收不合格，采购人有权立即终止合同，对采购人造成一定的损失，成交供应商承担一切责任，并赔偿所造成的损失。</w:t>
      </w:r>
    </w:p>
    <w:p>
      <w:pPr>
        <w:snapToGrid w:val="0"/>
        <w:spacing w:line="440" w:lineRule="exact"/>
        <w:ind w:firstLine="420" w:firstLineChars="200"/>
        <w:rPr>
          <w:rFonts w:ascii="微软雅黑" w:hAnsi="微软雅黑" w:eastAsia="微软雅黑" w:cs="宋体"/>
          <w:b/>
          <w:color w:val="000000" w:themeColor="text1"/>
          <w:kern w:val="0"/>
          <w:szCs w:val="21"/>
          <w14:textFill>
            <w14:solidFill>
              <w14:schemeClr w14:val="tx1"/>
            </w14:solidFill>
          </w14:textFill>
        </w:rPr>
      </w:pPr>
      <w:bookmarkStart w:id="68" w:name="_Toc10652242"/>
      <w:bookmarkStart w:id="69" w:name="_Toc48560545"/>
      <w:bookmarkStart w:id="70" w:name="_Toc267320050"/>
      <w:r>
        <w:rPr>
          <w:rFonts w:hint="eastAsia" w:ascii="微软雅黑" w:hAnsi="微软雅黑" w:eastAsia="微软雅黑" w:cs="宋体"/>
          <w:b/>
          <w:color w:val="000000" w:themeColor="text1"/>
          <w:kern w:val="0"/>
          <w:szCs w:val="21"/>
          <w14:textFill>
            <w14:solidFill>
              <w14:schemeClr w14:val="tx1"/>
            </w14:solidFill>
          </w14:textFill>
        </w:rPr>
        <w:t>（四）报价要求</w:t>
      </w:r>
      <w:bookmarkEnd w:id="68"/>
      <w:bookmarkEnd w:id="69"/>
    </w:p>
    <w:p>
      <w:pPr>
        <w:snapToGrid w:val="0"/>
        <w:spacing w:line="440" w:lineRule="exact"/>
        <w:ind w:firstLine="420" w:firstLineChars="200"/>
        <w:rPr>
          <w:rFonts w:ascii="微软雅黑" w:hAnsi="微软雅黑" w:eastAsia="微软雅黑" w:cs="宋体"/>
          <w:color w:val="000000" w:themeColor="text1"/>
          <w:kern w:val="0"/>
          <w:szCs w:val="21"/>
          <w14:textFill>
            <w14:solidFill>
              <w14:schemeClr w14:val="tx1"/>
            </w14:solidFill>
          </w14:textFill>
        </w:rPr>
      </w:pPr>
      <w:r>
        <w:rPr>
          <w:rFonts w:hint="eastAsia" w:ascii="微软雅黑" w:hAnsi="微软雅黑" w:eastAsia="微软雅黑" w:cs="宋体"/>
          <w:color w:val="000000" w:themeColor="text1"/>
          <w:kern w:val="0"/>
          <w:szCs w:val="21"/>
          <w14:textFill>
            <w14:solidFill>
              <w14:schemeClr w14:val="tx1"/>
            </w14:solidFill>
          </w14:textFill>
        </w:rPr>
        <w:t>本次报价须为人民币报价，响应报价为供应商对比选文件所确定的全部工作内容，包含完成本项目所需的材料费、人工费、运输费、保险费、管理费、各种应缴税费等一切可预见和不可预见的、合同明示或暗示的应由供应商承担的一切责任、义务和风险等所有费用</w:t>
      </w:r>
      <w:r>
        <w:rPr>
          <w:rFonts w:hint="eastAsia" w:ascii="微软雅黑" w:hAnsi="微软雅黑" w:eastAsia="微软雅黑" w:cs="宋体"/>
          <w:b/>
          <w:bCs/>
          <w:color w:val="000000" w:themeColor="text1"/>
          <w:kern w:val="0"/>
          <w:szCs w:val="21"/>
          <w14:textFill>
            <w14:solidFill>
              <w14:schemeClr w14:val="tx1"/>
            </w14:solidFill>
          </w14:textFill>
        </w:rPr>
        <w:t>。</w:t>
      </w:r>
    </w:p>
    <w:bookmarkEnd w:id="70"/>
    <w:p>
      <w:pPr>
        <w:snapToGrid w:val="0"/>
        <w:spacing w:line="440" w:lineRule="exact"/>
        <w:ind w:firstLine="420" w:firstLineChars="200"/>
        <w:rPr>
          <w:rFonts w:ascii="微软雅黑" w:hAnsi="微软雅黑" w:eastAsia="微软雅黑" w:cs="宋体"/>
          <w:b/>
          <w:color w:val="000000" w:themeColor="text1"/>
          <w:kern w:val="0"/>
          <w:szCs w:val="21"/>
          <w14:textFill>
            <w14:solidFill>
              <w14:schemeClr w14:val="tx1"/>
            </w14:solidFill>
          </w14:textFill>
        </w:rPr>
      </w:pPr>
      <w:bookmarkStart w:id="71" w:name="_Toc267320054"/>
      <w:bookmarkStart w:id="72" w:name="_Toc48560550"/>
      <w:r>
        <w:rPr>
          <w:rFonts w:hint="eastAsia" w:ascii="微软雅黑" w:hAnsi="微软雅黑" w:eastAsia="微软雅黑" w:cs="宋体"/>
          <w:b/>
          <w:color w:val="000000" w:themeColor="text1"/>
          <w:kern w:val="0"/>
          <w:szCs w:val="21"/>
          <w14:textFill>
            <w14:solidFill>
              <w14:schemeClr w14:val="tx1"/>
            </w14:solidFill>
          </w14:textFill>
        </w:rPr>
        <w:t>（</w:t>
      </w:r>
      <w:bookmarkEnd w:id="71"/>
      <w:r>
        <w:rPr>
          <w:rFonts w:hint="eastAsia" w:ascii="微软雅黑" w:hAnsi="微软雅黑" w:eastAsia="微软雅黑" w:cs="宋体"/>
          <w:b/>
          <w:color w:val="000000" w:themeColor="text1"/>
          <w:kern w:val="0"/>
          <w:szCs w:val="21"/>
          <w14:textFill>
            <w14:solidFill>
              <w14:schemeClr w14:val="tx1"/>
            </w14:solidFill>
          </w14:textFill>
        </w:rPr>
        <w:t>六）其他商务要求内容</w:t>
      </w:r>
      <w:bookmarkEnd w:id="72"/>
    </w:p>
    <w:p>
      <w:pPr>
        <w:snapToGrid w:val="0"/>
        <w:spacing w:line="440" w:lineRule="exact"/>
        <w:ind w:firstLine="420" w:firstLineChars="200"/>
        <w:rPr>
          <w:rFonts w:ascii="微软雅黑" w:hAnsi="微软雅黑" w:eastAsia="微软雅黑" w:cs="宋体"/>
          <w:color w:val="000000" w:themeColor="text1"/>
          <w:kern w:val="0"/>
          <w:szCs w:val="21"/>
          <w14:textFill>
            <w14:solidFill>
              <w14:schemeClr w14:val="tx1"/>
            </w14:solidFill>
          </w14:textFill>
        </w:rPr>
      </w:pPr>
      <w:r>
        <w:rPr>
          <w:rFonts w:hint="eastAsia" w:ascii="微软雅黑" w:hAnsi="微软雅黑" w:eastAsia="微软雅黑" w:cs="宋体"/>
          <w:color w:val="000000" w:themeColor="text1"/>
          <w:kern w:val="0"/>
          <w:szCs w:val="21"/>
          <w14:textFill>
            <w14:solidFill>
              <w14:schemeClr w14:val="tx1"/>
            </w14:solidFill>
          </w14:textFill>
        </w:rPr>
        <w:t>1.供应商必须在响应文件中对以上条款和施工承诺明确列出，承诺内容必须达到本篇及比选文件其他条款的要求。</w:t>
      </w:r>
    </w:p>
    <w:p>
      <w:pPr>
        <w:snapToGrid w:val="0"/>
        <w:spacing w:line="440" w:lineRule="exact"/>
        <w:ind w:firstLine="420" w:firstLineChars="200"/>
        <w:rPr>
          <w:rFonts w:ascii="微软雅黑" w:hAnsi="微软雅黑" w:eastAsia="微软雅黑" w:cs="宋体"/>
          <w:color w:val="000000" w:themeColor="text1"/>
          <w:kern w:val="0"/>
          <w:szCs w:val="21"/>
          <w14:textFill>
            <w14:solidFill>
              <w14:schemeClr w14:val="tx1"/>
            </w14:solidFill>
          </w14:textFill>
        </w:rPr>
      </w:pPr>
      <w:r>
        <w:rPr>
          <w:rFonts w:hint="eastAsia" w:ascii="微软雅黑" w:hAnsi="微软雅黑" w:eastAsia="微软雅黑" w:cs="宋体"/>
          <w:color w:val="000000" w:themeColor="text1"/>
          <w:kern w:val="0"/>
          <w:szCs w:val="21"/>
          <w14:textFill>
            <w14:solidFill>
              <w14:schemeClr w14:val="tx1"/>
            </w14:solidFill>
          </w14:textFill>
        </w:rPr>
        <w:t>2.其他未尽事宜由供需双方在采购合同中详细约定。</w:t>
      </w:r>
    </w:p>
    <w:p>
      <w:pPr>
        <w:rPr>
          <w:rFonts w:ascii="微软雅黑" w:hAnsi="微软雅黑" w:eastAsia="微软雅黑" w:cs="宋体"/>
          <w:color w:val="000000" w:themeColor="text1"/>
          <w:kern w:val="0"/>
          <w:szCs w:val="21"/>
          <w14:textFill>
            <w14:solidFill>
              <w14:schemeClr w14:val="tx1"/>
            </w14:solidFill>
          </w14:textFill>
        </w:rPr>
      </w:pPr>
      <w:r>
        <w:rPr>
          <w:rFonts w:ascii="微软雅黑" w:hAnsi="微软雅黑" w:eastAsia="微软雅黑" w:cs="宋体"/>
          <w:color w:val="000000" w:themeColor="text1"/>
          <w:kern w:val="0"/>
          <w:szCs w:val="21"/>
          <w14:textFill>
            <w14:solidFill>
              <w14:schemeClr w14:val="tx1"/>
            </w14:solidFill>
          </w14:textFill>
        </w:rPr>
        <w:br w:type="page"/>
      </w:r>
    </w:p>
    <w:p>
      <w:pPr>
        <w:pStyle w:val="2"/>
        <w:keepLines w:val="0"/>
        <w:widowControl w:val="0"/>
        <w:tabs>
          <w:tab w:val="left" w:pos="1530"/>
          <w:tab w:val="left" w:pos="3360"/>
          <w:tab w:val="left" w:pos="8052"/>
        </w:tabs>
        <w:adjustRightInd/>
        <w:spacing w:line="480" w:lineRule="auto"/>
        <w:ind w:left="1531" w:hanging="1531"/>
        <w:rPr>
          <w:rFonts w:ascii="微软雅黑" w:hAnsi="微软雅黑" w:eastAsia="微软雅黑"/>
          <w:bCs w:val="0"/>
          <w:color w:val="000000" w:themeColor="text1"/>
          <w:kern w:val="2"/>
          <w:szCs w:val="36"/>
          <w14:textFill>
            <w14:solidFill>
              <w14:schemeClr w14:val="tx1"/>
            </w14:solidFill>
          </w14:textFill>
        </w:rPr>
      </w:pPr>
      <w:bookmarkStart w:id="73" w:name="_Toc31230"/>
      <w:r>
        <w:rPr>
          <w:rFonts w:hint="eastAsia" w:ascii="微软雅黑" w:hAnsi="微软雅黑" w:eastAsia="微软雅黑"/>
          <w:bCs w:val="0"/>
          <w:color w:val="000000" w:themeColor="text1"/>
          <w:kern w:val="2"/>
          <w:szCs w:val="36"/>
          <w14:textFill>
            <w14:solidFill>
              <w14:schemeClr w14:val="tx1"/>
            </w14:solidFill>
          </w14:textFill>
        </w:rPr>
        <w:t>第</w:t>
      </w:r>
      <w:r>
        <w:rPr>
          <w:rFonts w:ascii="微软雅黑" w:hAnsi="微软雅黑" w:eastAsia="微软雅黑"/>
          <w:bCs w:val="0"/>
          <w:color w:val="000000" w:themeColor="text1"/>
          <w:kern w:val="2"/>
          <w:szCs w:val="36"/>
          <w14:textFill>
            <w14:solidFill>
              <w14:schemeClr w14:val="tx1"/>
            </w14:solidFill>
          </w14:textFill>
        </w:rPr>
        <w:t>五章</w:t>
      </w:r>
      <w:r>
        <w:rPr>
          <w:rFonts w:hint="eastAsia" w:ascii="微软雅黑" w:hAnsi="微软雅黑" w:eastAsia="微软雅黑"/>
          <w:bCs w:val="0"/>
          <w:color w:val="000000" w:themeColor="text1"/>
          <w:kern w:val="2"/>
          <w:szCs w:val="36"/>
          <w14:textFill>
            <w14:solidFill>
              <w14:schemeClr w14:val="tx1"/>
            </w14:solidFill>
          </w14:textFill>
        </w:rPr>
        <w:t>比选响应文件格式</w:t>
      </w:r>
      <w:bookmarkEnd w:id="73"/>
    </w:p>
    <w:p>
      <w:pPr>
        <w:jc w:val="center"/>
        <w:rPr>
          <w:rFonts w:ascii="微软雅黑" w:hAnsi="微软雅黑" w:eastAsia="微软雅黑"/>
          <w:color w:val="000000" w:themeColor="text1"/>
          <w:kern w:val="44"/>
          <w:sz w:val="36"/>
          <w:szCs w:val="36"/>
          <w:u w:val="single"/>
          <w14:textFill>
            <w14:solidFill>
              <w14:schemeClr w14:val="tx1"/>
            </w14:solidFill>
          </w14:textFill>
        </w:rPr>
      </w:pPr>
      <w:bookmarkStart w:id="74" w:name="_Toc10213451"/>
      <w:bookmarkStart w:id="75" w:name="_Toc68963480"/>
      <w:r>
        <w:rPr>
          <w:rFonts w:hint="eastAsia" w:ascii="微软雅黑" w:hAnsi="微软雅黑" w:eastAsia="微软雅黑"/>
          <w:color w:val="000000" w:themeColor="text1"/>
          <w:kern w:val="44"/>
          <w:sz w:val="36"/>
          <w:szCs w:val="36"/>
          <w:u w:val="single"/>
          <w14:textFill>
            <w14:solidFill>
              <w14:schemeClr w14:val="tx1"/>
            </w14:solidFill>
          </w14:textFill>
        </w:rPr>
        <w:t>项目名称</w:t>
      </w:r>
    </w:p>
    <w:p>
      <w:pPr>
        <w:jc w:val="center"/>
        <w:rPr>
          <w:rFonts w:ascii="微软雅黑" w:hAnsi="微软雅黑" w:eastAsia="微软雅黑"/>
          <w:color w:val="000000" w:themeColor="text1"/>
          <w:kern w:val="44"/>
          <w:sz w:val="32"/>
          <w:szCs w:val="32"/>
          <w14:textFill>
            <w14:solidFill>
              <w14:schemeClr w14:val="tx1"/>
            </w14:solidFill>
          </w14:textFill>
        </w:rPr>
      </w:pPr>
    </w:p>
    <w:p>
      <w:pPr>
        <w:jc w:val="center"/>
        <w:rPr>
          <w:rFonts w:ascii="微软雅黑" w:hAnsi="微软雅黑" w:eastAsia="微软雅黑"/>
          <w:color w:val="000000" w:themeColor="text1"/>
          <w:kern w:val="44"/>
          <w:sz w:val="32"/>
          <w:szCs w:val="32"/>
          <w14:textFill>
            <w14:solidFill>
              <w14:schemeClr w14:val="tx1"/>
            </w14:solidFill>
          </w14:textFill>
        </w:rPr>
      </w:pPr>
    </w:p>
    <w:p>
      <w:pPr>
        <w:jc w:val="center"/>
        <w:rPr>
          <w:rFonts w:ascii="微软雅黑" w:hAnsi="微软雅黑" w:eastAsia="微软雅黑"/>
          <w:b/>
          <w:color w:val="000000" w:themeColor="text1"/>
          <w:sz w:val="52"/>
          <w:szCs w:val="52"/>
          <w14:textFill>
            <w14:solidFill>
              <w14:schemeClr w14:val="tx1"/>
            </w14:solidFill>
          </w14:textFill>
        </w:rPr>
      </w:pPr>
      <w:r>
        <w:rPr>
          <w:rFonts w:hint="eastAsia" w:ascii="微软雅黑" w:hAnsi="微软雅黑" w:eastAsia="微软雅黑"/>
          <w:b/>
          <w:color w:val="000000" w:themeColor="text1"/>
          <w:sz w:val="52"/>
          <w:szCs w:val="52"/>
          <w14:textFill>
            <w14:solidFill>
              <w14:schemeClr w14:val="tx1"/>
            </w14:solidFill>
          </w14:textFill>
        </w:rPr>
        <w:t>比选响应文件</w:t>
      </w:r>
    </w:p>
    <w:p>
      <w:pPr>
        <w:rPr>
          <w:rFonts w:ascii="微软雅黑" w:hAnsi="微软雅黑" w:eastAsia="微软雅黑"/>
          <w:color w:val="000000" w:themeColor="text1"/>
          <w14:textFill>
            <w14:solidFill>
              <w14:schemeClr w14:val="tx1"/>
            </w14:solidFill>
          </w14:textFill>
        </w:rPr>
      </w:pPr>
    </w:p>
    <w:p>
      <w:pPr>
        <w:rPr>
          <w:rFonts w:ascii="微软雅黑" w:hAnsi="微软雅黑" w:eastAsia="微软雅黑"/>
          <w:color w:val="000000" w:themeColor="text1"/>
          <w14:textFill>
            <w14:solidFill>
              <w14:schemeClr w14:val="tx1"/>
            </w14:solidFill>
          </w14:textFill>
        </w:rPr>
      </w:pPr>
    </w:p>
    <w:p>
      <w:pPr>
        <w:rPr>
          <w:rFonts w:ascii="微软雅黑" w:hAnsi="微软雅黑" w:eastAsia="微软雅黑"/>
          <w:color w:val="000000" w:themeColor="text1"/>
          <w14:textFill>
            <w14:solidFill>
              <w14:schemeClr w14:val="tx1"/>
            </w14:solidFill>
          </w14:textFill>
        </w:rPr>
      </w:pPr>
    </w:p>
    <w:p>
      <w:pPr>
        <w:rPr>
          <w:rFonts w:ascii="微软雅黑" w:hAnsi="微软雅黑" w:eastAsia="微软雅黑"/>
          <w:color w:val="000000" w:themeColor="text1"/>
          <w14:textFill>
            <w14:solidFill>
              <w14:schemeClr w14:val="tx1"/>
            </w14:solidFill>
          </w14:textFill>
        </w:rPr>
      </w:pPr>
    </w:p>
    <w:p>
      <w:pPr>
        <w:rPr>
          <w:rFonts w:ascii="微软雅黑" w:hAnsi="微软雅黑" w:eastAsia="微软雅黑"/>
          <w:color w:val="000000" w:themeColor="text1"/>
          <w14:textFill>
            <w14:solidFill>
              <w14:schemeClr w14:val="tx1"/>
            </w14:solidFill>
          </w14:textFill>
        </w:rPr>
      </w:pPr>
    </w:p>
    <w:p>
      <w:pPr>
        <w:rPr>
          <w:rFonts w:ascii="微软雅黑" w:hAnsi="微软雅黑" w:eastAsia="微软雅黑"/>
          <w:color w:val="000000" w:themeColor="text1"/>
          <w14:textFill>
            <w14:solidFill>
              <w14:schemeClr w14:val="tx1"/>
            </w14:solidFill>
          </w14:textFill>
        </w:rPr>
      </w:pPr>
    </w:p>
    <w:p>
      <w:pPr>
        <w:rPr>
          <w:rFonts w:ascii="微软雅黑" w:hAnsi="微软雅黑" w:eastAsia="微软雅黑"/>
          <w:color w:val="000000" w:themeColor="text1"/>
          <w14:textFill>
            <w14:solidFill>
              <w14:schemeClr w14:val="tx1"/>
            </w14:solidFill>
          </w14:textFill>
        </w:rPr>
      </w:pPr>
    </w:p>
    <w:p>
      <w:pPr>
        <w:rPr>
          <w:rFonts w:ascii="微软雅黑" w:hAnsi="微软雅黑" w:eastAsia="微软雅黑"/>
          <w:color w:val="000000" w:themeColor="text1"/>
          <w14:textFill>
            <w14:solidFill>
              <w14:schemeClr w14:val="tx1"/>
            </w14:solidFill>
          </w14:textFill>
        </w:rPr>
      </w:pPr>
    </w:p>
    <w:p>
      <w:pPr>
        <w:rPr>
          <w:rFonts w:ascii="微软雅黑" w:hAnsi="微软雅黑" w:eastAsia="微软雅黑"/>
          <w:color w:val="000000" w:themeColor="text1"/>
          <w14:textFill>
            <w14:solidFill>
              <w14:schemeClr w14:val="tx1"/>
            </w14:solidFill>
          </w14:textFill>
        </w:rPr>
      </w:pPr>
    </w:p>
    <w:p>
      <w:pPr>
        <w:rPr>
          <w:rFonts w:ascii="微软雅黑" w:hAnsi="微软雅黑" w:eastAsia="微软雅黑"/>
          <w:color w:val="000000" w:themeColor="text1"/>
          <w14:textFill>
            <w14:solidFill>
              <w14:schemeClr w14:val="tx1"/>
            </w14:solidFill>
          </w14:textFill>
        </w:rPr>
      </w:pPr>
    </w:p>
    <w:p>
      <w:pPr>
        <w:ind w:left="1418" w:leftChars="675"/>
        <w:rPr>
          <w:rFonts w:ascii="微软雅黑" w:hAnsi="微软雅黑" w:eastAsia="微软雅黑"/>
          <w:color w:val="000000" w:themeColor="text1"/>
          <w:sz w:val="28"/>
          <w:szCs w:val="28"/>
          <w14:textFill>
            <w14:solidFill>
              <w14:schemeClr w14:val="tx1"/>
            </w14:solidFill>
          </w14:textFill>
        </w:rPr>
      </w:pPr>
      <w:r>
        <w:rPr>
          <w:rFonts w:hint="eastAsia" w:ascii="微软雅黑" w:hAnsi="微软雅黑" w:eastAsia="微软雅黑"/>
          <w:color w:val="000000" w:themeColor="text1"/>
          <w:sz w:val="28"/>
          <w:szCs w:val="28"/>
          <w14:textFill>
            <w14:solidFill>
              <w14:schemeClr w14:val="tx1"/>
            </w14:solidFill>
          </w14:textFill>
        </w:rPr>
        <w:t>供应商名称（盖章）：</w:t>
      </w:r>
    </w:p>
    <w:p>
      <w:pPr>
        <w:ind w:left="1418" w:leftChars="675"/>
        <w:rPr>
          <w:rFonts w:ascii="微软雅黑" w:hAnsi="微软雅黑" w:eastAsia="微软雅黑"/>
          <w:color w:val="000000" w:themeColor="text1"/>
          <w:sz w:val="28"/>
          <w:szCs w:val="28"/>
          <w14:textFill>
            <w14:solidFill>
              <w14:schemeClr w14:val="tx1"/>
            </w14:solidFill>
          </w14:textFill>
        </w:rPr>
      </w:pPr>
      <w:r>
        <w:rPr>
          <w:rFonts w:hint="eastAsia" w:ascii="微软雅黑" w:hAnsi="微软雅黑" w:eastAsia="微软雅黑"/>
          <w:color w:val="000000" w:themeColor="text1"/>
          <w:sz w:val="28"/>
          <w:szCs w:val="28"/>
          <w14:textFill>
            <w14:solidFill>
              <w14:schemeClr w14:val="tx1"/>
            </w14:solidFill>
          </w14:textFill>
        </w:rPr>
        <w:t>法定代表人或授权人签字：</w:t>
      </w:r>
    </w:p>
    <w:p>
      <w:pPr>
        <w:ind w:left="1418" w:leftChars="675"/>
        <w:rPr>
          <w:rFonts w:ascii="微软雅黑" w:hAnsi="微软雅黑" w:eastAsia="微软雅黑"/>
          <w:color w:val="000000" w:themeColor="text1"/>
          <w:sz w:val="28"/>
          <w:szCs w:val="28"/>
          <w14:textFill>
            <w14:solidFill>
              <w14:schemeClr w14:val="tx1"/>
            </w14:solidFill>
          </w14:textFill>
        </w:rPr>
      </w:pPr>
    </w:p>
    <w:p>
      <w:pPr>
        <w:jc w:val="center"/>
        <w:rPr>
          <w:rFonts w:ascii="微软雅黑" w:hAnsi="微软雅黑" w:eastAsia="微软雅黑"/>
          <w:color w:val="000000" w:themeColor="text1"/>
          <w:sz w:val="28"/>
          <w:szCs w:val="28"/>
          <w14:textFill>
            <w14:solidFill>
              <w14:schemeClr w14:val="tx1"/>
            </w14:solidFill>
          </w14:textFill>
        </w:rPr>
      </w:pPr>
    </w:p>
    <w:p>
      <w:pPr>
        <w:jc w:val="center"/>
        <w:rPr>
          <w:rFonts w:ascii="微软雅黑" w:hAnsi="微软雅黑" w:eastAsia="微软雅黑"/>
          <w:color w:val="000000" w:themeColor="text1"/>
          <w:sz w:val="28"/>
          <w:szCs w:val="28"/>
          <w14:textFill>
            <w14:solidFill>
              <w14:schemeClr w14:val="tx1"/>
            </w14:solidFill>
          </w14:textFill>
        </w:rPr>
      </w:pPr>
      <w:r>
        <w:rPr>
          <w:rFonts w:hint="eastAsia" w:ascii="微软雅黑" w:hAnsi="微软雅黑" w:eastAsia="微软雅黑"/>
          <w:color w:val="000000" w:themeColor="text1"/>
          <w:sz w:val="28"/>
          <w:szCs w:val="28"/>
          <w14:textFill>
            <w14:solidFill>
              <w14:schemeClr w14:val="tx1"/>
            </w14:solidFill>
          </w14:textFill>
        </w:rPr>
        <w:t>日期：年月日</w:t>
      </w:r>
    </w:p>
    <w:p>
      <w:pPr>
        <w:rPr>
          <w:rFonts w:ascii="微软雅黑" w:hAnsi="微软雅黑" w:eastAsia="微软雅黑"/>
          <w:color w:val="000000" w:themeColor="text1"/>
          <w:sz w:val="32"/>
          <w14:textFill>
            <w14:solidFill>
              <w14:schemeClr w14:val="tx1"/>
            </w14:solidFill>
          </w14:textFill>
        </w:rPr>
      </w:pPr>
      <w:r>
        <w:rPr>
          <w:rFonts w:hint="eastAsia" w:ascii="微软雅黑" w:hAnsi="微软雅黑" w:eastAsia="微软雅黑"/>
          <w:color w:val="000000" w:themeColor="text1"/>
          <w:sz w:val="32"/>
          <w14:textFill>
            <w14:solidFill>
              <w14:schemeClr w14:val="tx1"/>
            </w14:solidFill>
          </w14:textFill>
        </w:rPr>
        <w:br w:type="page"/>
      </w:r>
    </w:p>
    <w:p>
      <w:pPr>
        <w:pStyle w:val="3"/>
        <w:rPr>
          <w:rFonts w:ascii="微软雅黑" w:hAnsi="微软雅黑" w:eastAsia="微软雅黑"/>
          <w:color w:val="000000" w:themeColor="text1"/>
          <w:sz w:val="32"/>
          <w14:textFill>
            <w14:solidFill>
              <w14:schemeClr w14:val="tx1"/>
            </w14:solidFill>
          </w14:textFill>
        </w:rPr>
      </w:pPr>
      <w:bookmarkStart w:id="76" w:name="_Toc8400"/>
      <w:r>
        <w:rPr>
          <w:rFonts w:hint="eastAsia" w:ascii="微软雅黑" w:hAnsi="微软雅黑" w:eastAsia="微软雅黑"/>
          <w:color w:val="000000" w:themeColor="text1"/>
          <w:sz w:val="32"/>
          <w14:textFill>
            <w14:solidFill>
              <w14:schemeClr w14:val="tx1"/>
            </w14:solidFill>
          </w14:textFill>
        </w:rPr>
        <w:t>一、比选函</w:t>
      </w:r>
      <w:bookmarkEnd w:id="74"/>
      <w:bookmarkEnd w:id="75"/>
      <w:bookmarkEnd w:id="76"/>
    </w:p>
    <w:p>
      <w:pPr>
        <w:rPr>
          <w:color w:val="000000" w:themeColor="text1"/>
          <w14:textFill>
            <w14:solidFill>
              <w14:schemeClr w14:val="tx1"/>
            </w14:solidFill>
          </w14:textFill>
        </w:rPr>
      </w:pP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比选编号：</w:t>
      </w: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项目名称：</w:t>
      </w:r>
    </w:p>
    <w:p>
      <w:pPr>
        <w:adjustRightInd w:val="0"/>
        <w:snapToGrid w:val="0"/>
        <w:spacing w:line="440" w:lineRule="exact"/>
        <w:rPr>
          <w:rFonts w:ascii="微软雅黑" w:hAnsi="微软雅黑" w:eastAsia="微软雅黑"/>
          <w:color w:val="000000" w:themeColor="text1"/>
          <w:szCs w:val="21"/>
          <w:u w:val="single"/>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 xml:space="preserve">致: </w:t>
      </w:r>
      <w:r>
        <w:rPr>
          <w:rFonts w:hint="eastAsia" w:ascii="微软雅黑" w:hAnsi="微软雅黑" w:eastAsia="微软雅黑"/>
          <w:color w:val="000000" w:themeColor="text1"/>
          <w:szCs w:val="21"/>
          <w14:textFill>
            <w14:solidFill>
              <w14:schemeClr w14:val="tx1"/>
            </w14:solidFill>
          </w14:textFill>
        </w:rPr>
        <w:t>（采购人名称）：</w:t>
      </w:r>
    </w:p>
    <w:p>
      <w:pPr>
        <w:tabs>
          <w:tab w:val="left" w:pos="2700"/>
        </w:tabs>
        <w:adjustRightInd w:val="0"/>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1、我们收到并研究了贵单位的比选文件，对全部比选文件予以确认，愿意按比选文件规定的内容，承担本项目的供货及技术服务，并保证严格履行我们所承诺的责任和义务。</w:t>
      </w:r>
    </w:p>
    <w:p>
      <w:pPr>
        <w:tabs>
          <w:tab w:val="left" w:pos="2700"/>
        </w:tabs>
        <w:adjustRightInd w:val="0"/>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2、我单位针对本项目的报价为</w:t>
      </w:r>
      <w:r>
        <w:rPr>
          <w:rFonts w:hint="eastAsia" w:ascii="微软雅黑" w:hAnsi="微软雅黑" w:eastAsia="微软雅黑" w:cs="仿宋"/>
          <w:color w:val="000000" w:themeColor="text1"/>
          <w:szCs w:val="21"/>
          <w14:textFill>
            <w14:solidFill>
              <w14:schemeClr w14:val="tx1"/>
            </w14:solidFill>
          </w14:textFill>
        </w:rPr>
        <w:t>人民币小写</w:t>
      </w:r>
      <w:r>
        <w:rPr>
          <w:rFonts w:hint="eastAsia" w:ascii="微软雅黑" w:hAnsi="微软雅黑" w:eastAsia="微软雅黑"/>
          <w:color w:val="000000" w:themeColor="text1"/>
          <w:szCs w:val="21"/>
          <w14:textFill>
            <w14:solidFill>
              <w14:schemeClr w14:val="tx1"/>
            </w14:solidFill>
          </w14:textFill>
        </w:rPr>
        <w:t>，</w:t>
      </w:r>
      <w:r>
        <w:rPr>
          <w:rFonts w:hint="eastAsia" w:ascii="微软雅黑" w:hAnsi="微软雅黑" w:eastAsia="微软雅黑" w:cs="仿宋"/>
          <w:color w:val="000000" w:themeColor="text1"/>
          <w:szCs w:val="21"/>
          <w14:textFill>
            <w14:solidFill>
              <w14:schemeClr w14:val="tx1"/>
            </w14:solidFill>
          </w14:textFill>
        </w:rPr>
        <w:t>人民币大写，</w:t>
      </w:r>
      <w:r>
        <w:rPr>
          <w:rFonts w:hint="eastAsia" w:ascii="微软雅黑" w:hAnsi="微软雅黑" w:eastAsia="微软雅黑"/>
          <w:color w:val="000000" w:themeColor="text1"/>
          <w:szCs w:val="21"/>
          <w14:textFill>
            <w14:solidFill>
              <w14:schemeClr w14:val="tx1"/>
            </w14:solidFill>
          </w14:textFill>
        </w:rPr>
        <w:t>本比选报价己考虑了所有因素，比选有效期内，比选价格保持不变。</w:t>
      </w:r>
    </w:p>
    <w:p>
      <w:pPr>
        <w:adjustRightInd w:val="0"/>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3、我们已详细审查全部比选文件，包括修改文件（如果有的话）以及全部参考资料和有关附件。我们完全理解并同意放弃对这方面有不明及误解的权利。</w:t>
      </w:r>
    </w:p>
    <w:p>
      <w:pPr>
        <w:adjustRightInd w:val="0"/>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4、如果我们成交</w:t>
      </w:r>
      <w:r>
        <w:rPr>
          <w:rFonts w:ascii="微软雅黑" w:hAnsi="微软雅黑"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我们保证按比选文件的要求和比选供应商签订施工合同，并成立项目部，选派专业管理人员和施工人员实施项目合同。</w:t>
      </w:r>
    </w:p>
    <w:p>
      <w:pPr>
        <w:adjustRightInd w:val="0"/>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5、我们同意从比选之日起</w:t>
      </w:r>
      <w:r>
        <w:rPr>
          <w:rFonts w:hint="eastAsia" w:ascii="微软雅黑" w:hAnsi="微软雅黑" w:eastAsia="微软雅黑"/>
          <w:color w:val="000000" w:themeColor="text1"/>
          <w:szCs w:val="21"/>
          <w:u w:val="single"/>
          <w14:textFill>
            <w14:solidFill>
              <w14:schemeClr w14:val="tx1"/>
            </w14:solidFill>
          </w14:textFill>
        </w:rPr>
        <w:t>30</w:t>
      </w:r>
      <w:r>
        <w:rPr>
          <w:rFonts w:hint="eastAsia" w:ascii="微软雅黑" w:hAnsi="微软雅黑" w:eastAsia="微软雅黑"/>
          <w:color w:val="000000" w:themeColor="text1"/>
          <w:szCs w:val="21"/>
          <w14:textFill>
            <w14:solidFill>
              <w14:schemeClr w14:val="tx1"/>
            </w14:solidFill>
          </w14:textFill>
        </w:rPr>
        <w:t>天内遵守本比选文件，在此期限期满之前的任何时间，本比选文件一直对我们具有约束力。</w:t>
      </w:r>
    </w:p>
    <w:p>
      <w:pPr>
        <w:adjustRightInd w:val="0"/>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6、在制定和执行正式合同之前，本比选文件、比选响应文件连同你方书面的中选通知书，应构成我们双方之间有约束力的合同。</w:t>
      </w:r>
    </w:p>
    <w:p>
      <w:pPr>
        <w:adjustRightInd w:val="0"/>
        <w:snapToGrid w:val="0"/>
        <w:spacing w:line="44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7、我们理解你们并不一定接受最低标报价的比选或受到的任何比选响应文件的约束</w:t>
      </w:r>
      <w:r>
        <w:rPr>
          <w:rFonts w:ascii="微软雅黑" w:hAnsi="微软雅黑"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同时也理解，你方不负担我们的任何比选费用。</w:t>
      </w: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p>
    <w:p>
      <w:pPr>
        <w:adjustRightInd w:val="0"/>
        <w:snapToGrid w:val="0"/>
        <w:spacing w:line="440" w:lineRule="exact"/>
        <w:rPr>
          <w:rFonts w:ascii="微软雅黑" w:hAnsi="微软雅黑" w:eastAsia="微软雅黑"/>
          <w:color w:val="000000" w:themeColor="text1"/>
          <w:szCs w:val="21"/>
          <w:u w:val="single"/>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比选供应商：</w:t>
      </w:r>
      <w:r>
        <w:rPr>
          <w:rFonts w:hint="eastAsia" w:ascii="微软雅黑" w:hAnsi="微软雅黑" w:eastAsia="微软雅黑"/>
          <w:color w:val="000000" w:themeColor="text1"/>
          <w:szCs w:val="21"/>
          <w:u w:val="single"/>
          <w14:textFill>
            <w14:solidFill>
              <w14:schemeClr w14:val="tx1"/>
            </w14:solidFill>
          </w14:textFill>
        </w:rPr>
        <w:t>（公章）</w:t>
      </w: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法定代表人或其授权代理人（签字）：</w:t>
      </w: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地址：</w:t>
      </w: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电话：</w:t>
      </w: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传真：</w:t>
      </w:r>
    </w:p>
    <w:p>
      <w:pPr>
        <w:adjustRightInd w:val="0"/>
        <w:snapToGrid w:val="0"/>
        <w:spacing w:line="440" w:lineRule="exact"/>
        <w:rPr>
          <w:rFonts w:asciiTheme="minorEastAsia" w:hAnsiTheme="minorEastAsia" w:eastAsiaTheme="minorEastAsia"/>
          <w:color w:val="000000" w:themeColor="text1"/>
          <w:sz w:val="24"/>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日期：年月日</w:t>
      </w:r>
      <w:bookmarkStart w:id="77" w:name="_Toc68963488"/>
    </w:p>
    <w:p>
      <w:pPr>
        <w:adjustRightInd w:val="0"/>
        <w:snapToGrid w:val="0"/>
        <w:spacing w:line="360" w:lineRule="auto"/>
        <w:rPr>
          <w:rFonts w:asciiTheme="minorEastAsia" w:hAnsiTheme="minorEastAsia" w:eastAsiaTheme="minorEastAsia"/>
          <w:color w:val="000000" w:themeColor="text1"/>
          <w:sz w:val="24"/>
          <w:szCs w:val="21"/>
          <w14:textFill>
            <w14:solidFill>
              <w14:schemeClr w14:val="tx1"/>
            </w14:solidFill>
          </w14:textFill>
        </w:rPr>
      </w:pPr>
    </w:p>
    <w:p>
      <w:pPr>
        <w:adjustRightInd w:val="0"/>
        <w:snapToGrid w:val="0"/>
        <w:spacing w:line="360" w:lineRule="auto"/>
        <w:rPr>
          <w:rFonts w:asciiTheme="minorEastAsia" w:hAnsiTheme="minorEastAsia" w:eastAsiaTheme="minorEastAsia"/>
          <w:color w:val="000000" w:themeColor="text1"/>
          <w:sz w:val="24"/>
          <w:szCs w:val="21"/>
          <w14:textFill>
            <w14:solidFill>
              <w14:schemeClr w14:val="tx1"/>
            </w14:solidFill>
          </w14:textFill>
        </w:rPr>
      </w:pPr>
    </w:p>
    <w:p>
      <w:pPr>
        <w:adjustRightInd w:val="0"/>
        <w:snapToGrid w:val="0"/>
        <w:spacing w:line="360" w:lineRule="auto"/>
        <w:rPr>
          <w:rFonts w:asciiTheme="minorEastAsia" w:hAnsiTheme="minorEastAsia" w:eastAsiaTheme="minorEastAsia"/>
          <w:color w:val="000000" w:themeColor="text1"/>
          <w:sz w:val="24"/>
          <w:szCs w:val="21"/>
          <w14:textFill>
            <w14:solidFill>
              <w14:schemeClr w14:val="tx1"/>
            </w14:solidFill>
          </w14:textFill>
        </w:rPr>
      </w:pPr>
    </w:p>
    <w:p>
      <w:pPr>
        <w:rPr>
          <w:rFonts w:ascii="微软雅黑" w:hAnsi="微软雅黑" w:eastAsia="微软雅黑"/>
          <w:color w:val="000000" w:themeColor="text1"/>
          <w:sz w:val="32"/>
          <w14:textFill>
            <w14:solidFill>
              <w14:schemeClr w14:val="tx1"/>
            </w14:solidFill>
          </w14:textFill>
        </w:rPr>
      </w:pPr>
      <w:bookmarkStart w:id="78" w:name="_Toc10213455"/>
      <w:r>
        <w:rPr>
          <w:rFonts w:hint="eastAsia" w:ascii="微软雅黑" w:hAnsi="微软雅黑" w:eastAsia="微软雅黑"/>
          <w:color w:val="000000" w:themeColor="text1"/>
          <w:sz w:val="32"/>
          <w14:textFill>
            <w14:solidFill>
              <w14:schemeClr w14:val="tx1"/>
            </w14:solidFill>
          </w14:textFill>
        </w:rPr>
        <w:br w:type="page"/>
      </w:r>
    </w:p>
    <w:p>
      <w:pPr>
        <w:pStyle w:val="3"/>
        <w:rPr>
          <w:rFonts w:cs="仿宋" w:asciiTheme="minorEastAsia" w:hAnsiTheme="minorEastAsia" w:eastAsiaTheme="minorEastAsia"/>
          <w:color w:val="000000" w:themeColor="text1"/>
          <w:szCs w:val="21"/>
          <w14:textFill>
            <w14:solidFill>
              <w14:schemeClr w14:val="tx1"/>
            </w14:solidFill>
          </w14:textFill>
        </w:rPr>
      </w:pPr>
      <w:bookmarkStart w:id="79" w:name="_Toc29701"/>
      <w:r>
        <w:rPr>
          <w:rFonts w:hint="eastAsia" w:ascii="微软雅黑" w:hAnsi="微软雅黑" w:eastAsia="微软雅黑"/>
          <w:color w:val="000000" w:themeColor="text1"/>
          <w:sz w:val="32"/>
          <w14:textFill>
            <w14:solidFill>
              <w14:schemeClr w14:val="tx1"/>
            </w14:solidFill>
          </w14:textFill>
        </w:rPr>
        <w:t>二、比选报价明细表</w:t>
      </w:r>
      <w:bookmarkEnd w:id="78"/>
      <w:bookmarkEnd w:id="79"/>
    </w:p>
    <w:p>
      <w:pPr>
        <w:spacing w:line="560" w:lineRule="exact"/>
        <w:ind w:left="2310" w:leftChars="300" w:hanging="1680" w:hangingChars="8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项目名称：院本部部分实验室改造项目</w:t>
      </w:r>
    </w:p>
    <w:p>
      <w:pPr>
        <w:spacing w:line="56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单位：元</w:t>
      </w:r>
    </w:p>
    <w:tbl>
      <w:tblPr>
        <w:tblStyle w:val="39"/>
        <w:tblW w:w="5000" w:type="pct"/>
        <w:tblInd w:w="0" w:type="dxa"/>
        <w:tblLayout w:type="autofit"/>
        <w:tblCellMar>
          <w:top w:w="0" w:type="dxa"/>
          <w:left w:w="108" w:type="dxa"/>
          <w:bottom w:w="0" w:type="dxa"/>
          <w:right w:w="108" w:type="dxa"/>
        </w:tblCellMar>
      </w:tblPr>
      <w:tblGrid>
        <w:gridCol w:w="3042"/>
        <w:gridCol w:w="823"/>
        <w:gridCol w:w="961"/>
        <w:gridCol w:w="823"/>
        <w:gridCol w:w="823"/>
        <w:gridCol w:w="3269"/>
      </w:tblGrid>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项目</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单位</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数量</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单价</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合价</w:t>
            </w: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备注（品牌）</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三楼</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石膏板轻质隔墙</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25.8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泰山，龙牌</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吊顶维修</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310</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硅钙板600mm*600mm</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洗手池</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个</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PVC卷帘</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34</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地面清洗</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310</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涂料</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384.9</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三棵树，立邦，嘉宝莉</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灯具拆除</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600*600平板灯</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雷士，欧普，飞利浦</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线路改造</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鸽牌，渝丰</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121办公室</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拆除操作台</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400*800墙砖</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9.6</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规格：400mm*800mm</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同质透心地胶无自流平</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36.8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厚度：2.0mm</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涂料</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88.2</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三棵树，立邦，嘉宝莉</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吊顶维修</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36.8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硅钙板600mm*600mm</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出渣</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灯具拆除</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600*600平板灯</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雷士，欧普，飞利浦</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实木窗套</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m</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20</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开荒清洁</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36.8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PVC卷帘</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14</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线路改造</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鸽牌，渝丰</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116</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拆除操作台</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回填</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石膏板轻质隔墙</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26.91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泰山，龙牌</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涂料</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139.3</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三棵树，立邦，嘉宝莉</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灯具拆除</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600*600平板灯</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雷士，欧普，飞利浦</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吊顶维修</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45.72</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硅钙板600mm*600mm</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换锁</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同质透心地胶无自流平</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45.72</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厚度：2.0mm</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开荒清洁</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45.72</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PVC卷帘</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6.2</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玻璃贴膜</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出渣</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线路改造</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鸽牌，渝丰</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113、114、115库房</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拆除隔墙</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补外墙洞</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涂料</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215.2</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三棵树，立邦，嘉宝莉</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出渣</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换锁</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吊顶维修</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125.4</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硅钙板600mm*600mm</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同质透心地胶无自流平</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44.88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厚度：2.0mm</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PVC卷帘</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18.6</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玻璃贴膜</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15</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开荒清洁</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125.4</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灯具拆除</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600*600平板灯</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套</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雷士，欧普，飞利浦</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线路改造</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鸽牌，渝丰</w:t>
            </w: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安全措施费</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auto"/>
                <w:kern w:val="0"/>
                <w:sz w:val="22"/>
                <w:szCs w:val="22"/>
                <w:lang w:bidi="ar"/>
              </w:rPr>
              <w:t>税金</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r>
        <w:tblPrEx>
          <w:tblCellMar>
            <w:top w:w="0" w:type="dxa"/>
            <w:left w:w="108" w:type="dxa"/>
            <w:bottom w:w="0" w:type="dxa"/>
            <w:right w:w="108" w:type="dxa"/>
          </w:tblCellMar>
        </w:tblPrEx>
        <w:trPr>
          <w:trHeight w:val="360" w:hRule="atLeast"/>
        </w:trPr>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合计</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w:t>
            </w:r>
          </w:p>
        </w:tc>
        <w:tc>
          <w:tcPr>
            <w:tcW w:w="1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rPr>
            </w:pPr>
          </w:p>
        </w:tc>
      </w:tr>
    </w:tbl>
    <w:p>
      <w:pPr>
        <w:adjustRightInd w:val="0"/>
        <w:snapToGrid w:val="0"/>
        <w:spacing w:line="360" w:lineRule="auto"/>
        <w:rPr>
          <w:rFonts w:ascii="微软雅黑" w:hAnsi="微软雅黑" w:eastAsia="微软雅黑"/>
          <w:color w:val="000000" w:themeColor="text1"/>
          <w:szCs w:val="21"/>
          <w:u w:val="single"/>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比选供应商：</w:t>
      </w:r>
      <w:r>
        <w:rPr>
          <w:rFonts w:hint="eastAsia" w:ascii="微软雅黑" w:hAnsi="微软雅黑" w:eastAsia="微软雅黑"/>
          <w:color w:val="000000" w:themeColor="text1"/>
          <w:szCs w:val="21"/>
          <w:u w:val="single"/>
          <w14:textFill>
            <w14:solidFill>
              <w14:schemeClr w14:val="tx1"/>
            </w14:solidFill>
          </w14:textFill>
        </w:rPr>
        <w:t>（公章）</w:t>
      </w:r>
    </w:p>
    <w:p>
      <w:pPr>
        <w:adjustRightInd w:val="0"/>
        <w:snapToGrid w:val="0"/>
        <w:spacing w:line="360" w:lineRule="auto"/>
        <w:rPr>
          <w:rFonts w:ascii="微软雅黑" w:hAnsi="微软雅黑" w:eastAsia="微软雅黑"/>
          <w:color w:val="000000" w:themeColor="text1"/>
          <w:szCs w:val="21"/>
          <w:u w:val="single"/>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法定代表人或其授权代理人：</w:t>
      </w:r>
      <w:r>
        <w:rPr>
          <w:rFonts w:hint="eastAsia" w:ascii="微软雅黑" w:hAnsi="微软雅黑" w:eastAsia="微软雅黑"/>
          <w:color w:val="000000" w:themeColor="text1"/>
          <w:szCs w:val="21"/>
          <w:u w:val="single"/>
          <w14:textFill>
            <w14:solidFill>
              <w14:schemeClr w14:val="tx1"/>
            </w14:solidFill>
          </w14:textFill>
        </w:rPr>
        <w:t>（签字或盖章）</w:t>
      </w:r>
    </w:p>
    <w:p>
      <w:pPr>
        <w:adjustRightInd w:val="0"/>
        <w:snapToGrid w:val="0"/>
        <w:spacing w:line="360" w:lineRule="auto"/>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日期：</w:t>
      </w:r>
      <w:r>
        <w:rPr>
          <w:rFonts w:hint="eastAsia" w:ascii="微软雅黑" w:hAnsi="微软雅黑" w:eastAsia="微软雅黑"/>
          <w:color w:val="000000" w:themeColor="text1"/>
          <w:szCs w:val="21"/>
          <w:lang w:val="en-US" w:eastAsia="zh-CN"/>
          <w14:textFill>
            <w14:solidFill>
              <w14:schemeClr w14:val="tx1"/>
            </w14:solidFill>
          </w14:textFill>
        </w:rPr>
        <w:t xml:space="preserve">  </w:t>
      </w:r>
      <w:r>
        <w:rPr>
          <w:rFonts w:hint="eastAsia" w:ascii="微软雅黑" w:hAnsi="微软雅黑" w:eastAsia="微软雅黑"/>
          <w:color w:val="000000" w:themeColor="text1"/>
          <w:szCs w:val="21"/>
          <w14:textFill>
            <w14:solidFill>
              <w14:schemeClr w14:val="tx1"/>
            </w14:solidFill>
          </w14:textFill>
        </w:rPr>
        <w:t>年</w:t>
      </w:r>
      <w:r>
        <w:rPr>
          <w:rFonts w:hint="eastAsia" w:ascii="微软雅黑" w:hAnsi="微软雅黑" w:eastAsia="微软雅黑"/>
          <w:color w:val="000000" w:themeColor="text1"/>
          <w:szCs w:val="21"/>
          <w:lang w:val="en-US" w:eastAsia="zh-CN"/>
          <w14:textFill>
            <w14:solidFill>
              <w14:schemeClr w14:val="tx1"/>
            </w14:solidFill>
          </w14:textFill>
        </w:rPr>
        <w:t xml:space="preserve">  </w:t>
      </w:r>
      <w:r>
        <w:rPr>
          <w:rFonts w:hint="eastAsia" w:ascii="微软雅黑" w:hAnsi="微软雅黑" w:eastAsia="微软雅黑"/>
          <w:color w:val="000000" w:themeColor="text1"/>
          <w:szCs w:val="21"/>
          <w14:textFill>
            <w14:solidFill>
              <w14:schemeClr w14:val="tx1"/>
            </w14:solidFill>
          </w14:textFill>
        </w:rPr>
        <w:t>月</w:t>
      </w:r>
      <w:r>
        <w:rPr>
          <w:rFonts w:hint="eastAsia" w:ascii="微软雅黑" w:hAnsi="微软雅黑" w:eastAsia="微软雅黑"/>
          <w:color w:val="000000" w:themeColor="text1"/>
          <w:szCs w:val="21"/>
          <w:lang w:val="en-US" w:eastAsia="zh-CN"/>
          <w14:textFill>
            <w14:solidFill>
              <w14:schemeClr w14:val="tx1"/>
            </w14:solidFill>
          </w14:textFill>
        </w:rPr>
        <w:t xml:space="preserve">  </w:t>
      </w:r>
      <w:r>
        <w:rPr>
          <w:rFonts w:hint="eastAsia" w:ascii="微软雅黑" w:hAnsi="微软雅黑" w:eastAsia="微软雅黑"/>
          <w:color w:val="000000" w:themeColor="text1"/>
          <w:szCs w:val="21"/>
          <w14:textFill>
            <w14:solidFill>
              <w14:schemeClr w14:val="tx1"/>
            </w14:solidFill>
          </w14:textFill>
        </w:rPr>
        <w:t>日</w:t>
      </w: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注：</w:t>
      </w:r>
    </w:p>
    <w:p>
      <w:pPr>
        <w:snapToGrid w:val="0"/>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1．请供应</w:t>
      </w:r>
      <w:r>
        <w:rPr>
          <w:rFonts w:ascii="微软雅黑" w:hAnsi="微软雅黑" w:eastAsia="微软雅黑"/>
          <w:color w:val="000000" w:themeColor="text1"/>
          <w:szCs w:val="21"/>
          <w14:textFill>
            <w14:solidFill>
              <w14:schemeClr w14:val="tx1"/>
            </w14:solidFill>
          </w14:textFill>
        </w:rPr>
        <w:t>商</w:t>
      </w:r>
      <w:r>
        <w:rPr>
          <w:rFonts w:hint="eastAsia" w:ascii="微软雅黑" w:hAnsi="微软雅黑" w:eastAsia="微软雅黑"/>
          <w:color w:val="000000" w:themeColor="text1"/>
          <w:szCs w:val="21"/>
          <w14:textFill>
            <w14:solidFill>
              <w14:schemeClr w14:val="tx1"/>
            </w14:solidFill>
          </w14:textFill>
        </w:rPr>
        <w:t>完整填写本表；</w:t>
      </w:r>
    </w:p>
    <w:p>
      <w:pPr>
        <w:spacing w:line="48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2．该表可扩展。</w:t>
      </w:r>
    </w:p>
    <w:p>
      <w:pPr>
        <w:rPr>
          <w:color w:val="000000" w:themeColor="text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br w:type="page"/>
      </w:r>
    </w:p>
    <w:bookmarkEnd w:id="77"/>
    <w:p>
      <w:pPr>
        <w:pStyle w:val="3"/>
        <w:rPr>
          <w:rFonts w:ascii="微软雅黑" w:hAnsi="微软雅黑" w:eastAsia="微软雅黑"/>
          <w:color w:val="000000" w:themeColor="text1"/>
          <w:sz w:val="32"/>
          <w14:textFill>
            <w14:solidFill>
              <w14:schemeClr w14:val="tx1"/>
            </w14:solidFill>
          </w14:textFill>
        </w:rPr>
      </w:pPr>
      <w:bookmarkStart w:id="80" w:name="_Toc10213460"/>
      <w:bookmarkStart w:id="81" w:name="_Toc15959"/>
      <w:bookmarkStart w:id="82" w:name="_Toc68963492"/>
      <w:r>
        <w:rPr>
          <w:rFonts w:hint="eastAsia" w:ascii="微软雅黑" w:hAnsi="微软雅黑" w:eastAsia="微软雅黑"/>
          <w:color w:val="000000" w:themeColor="text1"/>
          <w:sz w:val="32"/>
          <w14:textFill>
            <w14:solidFill>
              <w14:schemeClr w14:val="tx1"/>
            </w14:solidFill>
          </w14:textFill>
        </w:rPr>
        <w:t>三、资质证明文件</w:t>
      </w:r>
      <w:bookmarkEnd w:id="80"/>
      <w:bookmarkEnd w:id="81"/>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tabs>
          <w:tab w:val="left" w:pos="5580"/>
        </w:tabs>
        <w:adjustRightInd w:val="0"/>
        <w:snapToGrid w:val="0"/>
        <w:spacing w:line="360" w:lineRule="auto"/>
        <w:rPr>
          <w:color w:val="000000" w:themeColor="text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(1)法人营业执照（副本）</w:t>
      </w:r>
    </w:p>
    <w:p>
      <w:pPr>
        <w:tabs>
          <w:tab w:val="left" w:pos="5580"/>
        </w:tabs>
        <w:adjustRightInd w:val="0"/>
        <w:snapToGrid w:val="0"/>
        <w:spacing w:line="360" w:lineRule="auto"/>
        <w:rPr>
          <w:color w:val="000000" w:themeColor="text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(2)法定代表人授权书（格式）和法人授权代表身份证</w:t>
      </w:r>
    </w:p>
    <w:p>
      <w:pPr>
        <w:tabs>
          <w:tab w:val="left" w:pos="5580"/>
        </w:tabs>
        <w:adjustRightInd w:val="0"/>
        <w:snapToGrid w:val="0"/>
        <w:spacing w:line="360" w:lineRule="auto"/>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w:t>
      </w:r>
      <w:r>
        <w:rPr>
          <w:rFonts w:ascii="微软雅黑" w:hAnsi="微软雅黑" w:eastAsia="微软雅黑"/>
          <w:color w:val="000000" w:themeColor="text1"/>
          <w:szCs w:val="21"/>
          <w14:textFill>
            <w14:solidFill>
              <w14:schemeClr w14:val="tx1"/>
            </w14:solidFill>
          </w14:textFill>
        </w:rPr>
        <w:t>3</w:t>
      </w:r>
      <w:r>
        <w:rPr>
          <w:rFonts w:hint="eastAsia" w:ascii="微软雅黑" w:hAnsi="微软雅黑" w:eastAsia="微软雅黑"/>
          <w:color w:val="000000" w:themeColor="text1"/>
          <w:szCs w:val="21"/>
          <w14:textFill>
            <w14:solidFill>
              <w14:schemeClr w14:val="tx1"/>
            </w14:solidFill>
          </w14:textFill>
        </w:rPr>
        <w:t>)近三年内在本行业内从事相关工作未受到政府部门给予不良记录和行政处罚的承诺（格式）</w:t>
      </w:r>
    </w:p>
    <w:p>
      <w:pPr>
        <w:pStyle w:val="22"/>
        <w:tabs>
          <w:tab w:val="left" w:pos="5580"/>
        </w:tabs>
        <w:adjustRightInd w:val="0"/>
        <w:snapToGrid w:val="0"/>
        <w:spacing w:line="360" w:lineRule="auto"/>
        <w:rPr>
          <w:rFonts w:ascii="微软雅黑" w:hAnsi="微软雅黑" w:eastAsia="微软雅黑"/>
          <w:b/>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w:t>
      </w:r>
      <w:r>
        <w:rPr>
          <w:rFonts w:ascii="微软雅黑" w:hAnsi="微软雅黑" w:eastAsia="微软雅黑"/>
          <w:color w:val="000000" w:themeColor="text1"/>
          <w:sz w:val="21"/>
          <w:szCs w:val="21"/>
          <w14:textFill>
            <w14:solidFill>
              <w14:schemeClr w14:val="tx1"/>
            </w14:solidFill>
          </w14:textFill>
        </w:rPr>
        <w:t>4</w:t>
      </w:r>
      <w:r>
        <w:rPr>
          <w:rFonts w:hint="eastAsia" w:ascii="微软雅黑" w:hAnsi="微软雅黑" w:eastAsia="微软雅黑"/>
          <w:color w:val="000000" w:themeColor="text1"/>
          <w:sz w:val="21"/>
          <w:szCs w:val="21"/>
          <w14:textFill>
            <w14:solidFill>
              <w14:schemeClr w14:val="tx1"/>
            </w14:solidFill>
          </w14:textFill>
        </w:rPr>
        <w:t>)比选文件要求的其他资格证明文件（格式自定）</w:t>
      </w:r>
      <w:r>
        <w:rPr>
          <w:rFonts w:hint="eastAsia" w:ascii="微软雅黑" w:hAnsi="微软雅黑" w:eastAsia="微软雅黑"/>
          <w:b/>
          <w:color w:val="000000" w:themeColor="text1"/>
          <w:sz w:val="21"/>
          <w:szCs w:val="21"/>
          <w14:textFill>
            <w14:solidFill>
              <w14:schemeClr w14:val="tx1"/>
            </w14:solidFill>
          </w14:textFill>
        </w:rPr>
        <w:t>。</w:t>
      </w:r>
    </w:p>
    <w:p>
      <w:pPr>
        <w:pStyle w:val="37"/>
        <w:ind w:firstLine="210"/>
        <w:rPr>
          <w:color w:val="000000" w:themeColor="text1"/>
          <w14:textFill>
            <w14:solidFill>
              <w14:schemeClr w14:val="tx1"/>
            </w14:solidFill>
          </w14:textFill>
        </w:rPr>
      </w:pPr>
    </w:p>
    <w:p>
      <w:pPr>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br w:type="page"/>
      </w:r>
    </w:p>
    <w:p>
      <w:pPr>
        <w:tabs>
          <w:tab w:val="left" w:pos="5580"/>
        </w:tabs>
        <w:adjustRightInd w:val="0"/>
        <w:snapToGrid w:val="0"/>
        <w:spacing w:line="360" w:lineRule="auto"/>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附件1：法定代表人授权书（格式）和法人授权代表身份证</w:t>
      </w:r>
    </w:p>
    <w:p>
      <w:pPr>
        <w:jc w:val="center"/>
        <w:rPr>
          <w:rFonts w:ascii="方正黑体_GBK" w:eastAsia="方正黑体_GBK"/>
          <w:b/>
          <w:color w:val="000000" w:themeColor="text1"/>
          <w:sz w:val="32"/>
          <w:szCs w:val="32"/>
          <w14:textFill>
            <w14:solidFill>
              <w14:schemeClr w14:val="tx1"/>
            </w14:solidFill>
          </w14:textFill>
        </w:rPr>
      </w:pPr>
    </w:p>
    <w:p>
      <w:pPr>
        <w:jc w:val="center"/>
        <w:rPr>
          <w:rFonts w:ascii="方正黑体_GBK" w:eastAsia="方正黑体_GBK"/>
          <w:b/>
          <w:color w:val="000000" w:themeColor="text1"/>
          <w:sz w:val="32"/>
          <w:szCs w:val="32"/>
          <w14:textFill>
            <w14:solidFill>
              <w14:schemeClr w14:val="tx1"/>
            </w14:solidFill>
          </w14:textFill>
        </w:rPr>
      </w:pPr>
      <w:r>
        <w:rPr>
          <w:rFonts w:hint="eastAsia" w:ascii="方正黑体_GBK" w:eastAsia="方正黑体_GBK"/>
          <w:b/>
          <w:color w:val="000000" w:themeColor="text1"/>
          <w:sz w:val="32"/>
          <w:szCs w:val="32"/>
          <w14:textFill>
            <w14:solidFill>
              <w14:schemeClr w14:val="tx1"/>
            </w14:solidFill>
          </w14:textFill>
        </w:rPr>
        <w:t>法定代表人授权委托书</w:t>
      </w:r>
    </w:p>
    <w:p>
      <w:pPr>
        <w:adjustRightInd w:val="0"/>
        <w:snapToGrid w:val="0"/>
        <w:spacing w:line="360" w:lineRule="auto"/>
        <w:rPr>
          <w:rFonts w:asciiTheme="minorEastAsia" w:hAnsiTheme="minorEastAsia" w:eastAsiaTheme="minorEastAsia"/>
          <w:color w:val="000000" w:themeColor="text1"/>
          <w:sz w:val="24"/>
          <w:szCs w:val="21"/>
          <w:u w:val="single"/>
          <w14:textFill>
            <w14:solidFill>
              <w14:schemeClr w14:val="tx1"/>
            </w14:solidFill>
          </w14:textFill>
        </w:rPr>
      </w:pP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致：（采购人名称）：</w:t>
      </w:r>
    </w:p>
    <w:p>
      <w:pPr>
        <w:adjustRightInd w:val="0"/>
        <w:snapToGrid w:val="0"/>
        <w:spacing w:line="440" w:lineRule="exact"/>
        <w:ind w:firstLine="420" w:firstLineChars="200"/>
        <w:rPr>
          <w:rFonts w:ascii="微软雅黑" w:hAnsi="微软雅黑" w:eastAsia="微软雅黑"/>
          <w:color w:val="000000" w:themeColor="text1"/>
          <w:szCs w:val="21"/>
          <w:u w:val="single"/>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本授权书在此声明：</w:t>
      </w:r>
      <w:r>
        <w:rPr>
          <w:rFonts w:hint="eastAsia" w:ascii="微软雅黑" w:hAnsi="微软雅黑" w:eastAsia="微软雅黑"/>
          <w:color w:val="000000" w:themeColor="text1"/>
          <w:szCs w:val="21"/>
          <w:u w:val="single"/>
          <w14:textFill>
            <w14:solidFill>
              <w14:schemeClr w14:val="tx1"/>
            </w14:solidFill>
          </w14:textFill>
        </w:rPr>
        <w:t>（比选供应商名称）的（职务）、（姓名）</w:t>
      </w:r>
      <w:r>
        <w:rPr>
          <w:rFonts w:hint="eastAsia" w:ascii="微软雅黑" w:hAnsi="微软雅黑" w:eastAsia="微软雅黑"/>
          <w:color w:val="000000" w:themeColor="text1"/>
          <w:szCs w:val="21"/>
          <w14:textFill>
            <w14:solidFill>
              <w14:schemeClr w14:val="tx1"/>
            </w14:solidFill>
          </w14:textFill>
        </w:rPr>
        <w:t>以本单位法人代表的身份，代表本单位授权</w:t>
      </w:r>
      <w:r>
        <w:rPr>
          <w:rFonts w:hint="eastAsia" w:ascii="微软雅黑" w:hAnsi="微软雅黑" w:eastAsia="微软雅黑"/>
          <w:color w:val="000000" w:themeColor="text1"/>
          <w:szCs w:val="21"/>
          <w:u w:val="single"/>
          <w14:textFill>
            <w14:solidFill>
              <w14:schemeClr w14:val="tx1"/>
            </w14:solidFill>
          </w14:textFill>
        </w:rPr>
        <w:t>（职务）、（姓名）</w:t>
      </w:r>
      <w:r>
        <w:rPr>
          <w:rFonts w:hint="eastAsia" w:ascii="微软雅黑" w:hAnsi="微软雅黑" w:eastAsia="微软雅黑"/>
          <w:color w:val="000000" w:themeColor="text1"/>
          <w:szCs w:val="21"/>
          <w14:textFill>
            <w14:solidFill>
              <w14:schemeClr w14:val="tx1"/>
            </w14:solidFill>
          </w14:textFill>
        </w:rPr>
        <w:t>为我单位的合法代表，该代理人在</w:t>
      </w:r>
      <w:r>
        <w:rPr>
          <w:rFonts w:hint="eastAsia" w:ascii="微软雅黑" w:hAnsi="微软雅黑" w:eastAsia="微软雅黑"/>
          <w:color w:val="000000" w:themeColor="text1"/>
          <w:szCs w:val="21"/>
          <w:u w:val="single"/>
          <w14:textFill>
            <w14:solidFill>
              <w14:schemeClr w14:val="tx1"/>
            </w14:solidFill>
          </w14:textFill>
        </w:rPr>
        <w:t>项目</w:t>
      </w:r>
      <w:r>
        <w:rPr>
          <w:rFonts w:hint="eastAsia" w:ascii="微软雅黑" w:hAnsi="微软雅黑" w:eastAsia="微软雅黑"/>
          <w:color w:val="000000" w:themeColor="text1"/>
          <w:szCs w:val="21"/>
          <w14:textFill>
            <w14:solidFill>
              <w14:schemeClr w14:val="tx1"/>
            </w14:solidFill>
          </w14:textFill>
        </w:rPr>
        <w:t>的比选活动、合同谈判、协议书签署等相关行为中，有权全权处理与之相关的一切事宜。</w:t>
      </w:r>
    </w:p>
    <w:p>
      <w:pPr>
        <w:adjustRightInd w:val="0"/>
        <w:snapToGrid w:val="0"/>
        <w:spacing w:line="440" w:lineRule="exact"/>
        <w:ind w:firstLine="42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本授权书期限自年月日起至年月日止。</w:t>
      </w:r>
    </w:p>
    <w:p>
      <w:pPr>
        <w:pStyle w:val="24"/>
        <w:adjustRightInd w:val="0"/>
        <w:snapToGrid w:val="0"/>
        <w:spacing w:line="440" w:lineRule="exact"/>
        <w:ind w:leftChars="0" w:firstLine="420" w:firstLineChars="0"/>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在此授权范围和期限内，被授权代理人所实施的行为具有法律效力，授权人予以认可。</w:t>
      </w:r>
    </w:p>
    <w:p>
      <w:pPr>
        <w:pStyle w:val="24"/>
        <w:adjustRightInd w:val="0"/>
        <w:snapToGrid w:val="0"/>
        <w:spacing w:line="440" w:lineRule="exact"/>
        <w:ind w:left="506" w:firstLine="485"/>
        <w:rPr>
          <w:rFonts w:ascii="微软雅黑" w:hAnsi="微软雅黑" w:eastAsia="微软雅黑"/>
          <w:color w:val="000000" w:themeColor="text1"/>
          <w:sz w:val="21"/>
          <w:szCs w:val="21"/>
          <w14:textFill>
            <w14:solidFill>
              <w14:schemeClr w14:val="tx1"/>
            </w14:solidFill>
          </w14:textFill>
        </w:rPr>
      </w:pP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比选供应商名称：</w:t>
      </w:r>
      <w:r>
        <w:rPr>
          <w:rFonts w:hint="eastAsia" w:ascii="微软雅黑" w:hAnsi="微软雅黑" w:eastAsia="微软雅黑"/>
          <w:color w:val="000000" w:themeColor="text1"/>
          <w:szCs w:val="21"/>
          <w:u w:val="single"/>
          <w14:textFill>
            <w14:solidFill>
              <w14:schemeClr w14:val="tx1"/>
            </w14:solidFill>
          </w14:textFill>
        </w:rPr>
        <w:t>（盖章）</w:t>
      </w:r>
    </w:p>
    <w:p>
      <w:pPr>
        <w:adjustRightInd w:val="0"/>
        <w:snapToGrid w:val="0"/>
        <w:spacing w:line="440" w:lineRule="exact"/>
        <w:ind w:left="5320" w:hanging="5320"/>
        <w:rPr>
          <w:rFonts w:ascii="微软雅黑" w:hAnsi="微软雅黑" w:eastAsia="微软雅黑"/>
          <w:color w:val="000000" w:themeColor="text1"/>
          <w:szCs w:val="21"/>
          <w:u w:val="single"/>
          <w14:textFill>
            <w14:solidFill>
              <w14:schemeClr w14:val="tx1"/>
            </w14:solidFill>
          </w14:textFill>
        </w:rPr>
      </w:pPr>
      <w:r>
        <w:rPr>
          <w:rFonts w:hint="eastAsia" w:ascii="微软雅黑" w:hAnsi="微软雅黑" w:eastAsia="微软雅黑"/>
          <w:color w:val="000000" w:themeColor="text1"/>
          <w:spacing w:val="20"/>
          <w:szCs w:val="21"/>
          <w14:textFill>
            <w14:solidFill>
              <w14:schemeClr w14:val="tx1"/>
            </w14:solidFill>
          </w14:textFill>
        </w:rPr>
        <w:t>授权人</w:t>
      </w:r>
      <w:r>
        <w:rPr>
          <w:rFonts w:hint="eastAsia" w:ascii="微软雅黑" w:hAnsi="微软雅黑" w:eastAsia="微软雅黑"/>
          <w:color w:val="000000" w:themeColor="text1"/>
          <w:szCs w:val="21"/>
          <w14:textFill>
            <w14:solidFill>
              <w14:schemeClr w14:val="tx1"/>
            </w14:solidFill>
          </w14:textFill>
        </w:rPr>
        <w:t>：</w:t>
      </w:r>
      <w:r>
        <w:rPr>
          <w:rFonts w:hint="eastAsia" w:ascii="微软雅黑" w:hAnsi="微软雅黑" w:eastAsia="微软雅黑"/>
          <w:color w:val="000000" w:themeColor="text1"/>
          <w:szCs w:val="21"/>
          <w:u w:val="single"/>
          <w14:textFill>
            <w14:solidFill>
              <w14:schemeClr w14:val="tx1"/>
            </w14:solidFill>
          </w14:textFill>
        </w:rPr>
        <w:t>（签字或盖章）</w:t>
      </w:r>
    </w:p>
    <w:p>
      <w:pPr>
        <w:adjustRightInd w:val="0"/>
        <w:snapToGrid w:val="0"/>
        <w:spacing w:line="440" w:lineRule="exact"/>
        <w:rPr>
          <w:rFonts w:ascii="微软雅黑" w:hAnsi="微软雅黑" w:eastAsia="微软雅黑"/>
          <w:color w:val="000000" w:themeColor="text1"/>
          <w:szCs w:val="21"/>
          <w:u w:val="single"/>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被授权代理人：</w:t>
      </w:r>
      <w:r>
        <w:rPr>
          <w:rFonts w:hint="eastAsia" w:ascii="微软雅黑" w:hAnsi="微软雅黑" w:eastAsia="微软雅黑"/>
          <w:color w:val="000000" w:themeColor="text1"/>
          <w:szCs w:val="21"/>
          <w:u w:val="single"/>
          <w14:textFill>
            <w14:solidFill>
              <w14:schemeClr w14:val="tx1"/>
            </w14:solidFill>
          </w14:textFill>
        </w:rPr>
        <w:t>（签字）</w:t>
      </w:r>
    </w:p>
    <w:p>
      <w:p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日期：年月日</w:t>
      </w:r>
    </w:p>
    <w:p>
      <w:pPr>
        <w:spacing w:line="440" w:lineRule="exact"/>
        <w:rPr>
          <w:rFonts w:ascii="微软雅黑" w:hAnsi="微软雅黑" w:eastAsia="微软雅黑"/>
          <w:color w:val="000000" w:themeColor="text1"/>
          <w:szCs w:val="21"/>
          <w14:textFill>
            <w14:solidFill>
              <w14:schemeClr w14:val="tx1"/>
            </w14:solidFill>
          </w14:textFill>
        </w:rPr>
      </w:pPr>
    </w:p>
    <w:p>
      <w:pPr>
        <w:pStyle w:val="37"/>
        <w:ind w:firstLine="21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附：法定代表人和被授权人身份证正反面复印件（加盖公章）</w:t>
      </w:r>
    </w:p>
    <w:p>
      <w:pPr>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br w:type="page"/>
      </w:r>
    </w:p>
    <w:p>
      <w:pPr>
        <w:pStyle w:val="37"/>
        <w:ind w:firstLine="0" w:firstLineChars="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附件2：近三年内在本行业内从事相关工作未受到政府部门给予不良记录和行政处罚的承诺（格式）</w:t>
      </w:r>
    </w:p>
    <w:p>
      <w:pPr>
        <w:adjustRightInd w:val="0"/>
        <w:snapToGrid w:val="0"/>
        <w:spacing w:line="360" w:lineRule="auto"/>
        <w:jc w:val="center"/>
        <w:rPr>
          <w:rFonts w:ascii="微软雅黑" w:hAnsi="微软雅黑" w:eastAsia="微软雅黑"/>
          <w:b/>
          <w:color w:val="000000" w:themeColor="text1"/>
          <w:sz w:val="30"/>
          <w:szCs w:val="30"/>
          <w14:textFill>
            <w14:solidFill>
              <w14:schemeClr w14:val="tx1"/>
            </w14:solidFill>
          </w14:textFill>
        </w:rPr>
      </w:pPr>
    </w:p>
    <w:p>
      <w:pPr>
        <w:adjustRightInd w:val="0"/>
        <w:snapToGrid w:val="0"/>
        <w:spacing w:line="360" w:lineRule="auto"/>
        <w:jc w:val="center"/>
        <w:rPr>
          <w:rFonts w:ascii="方正黑体_GBK" w:hAnsi="微软雅黑" w:eastAsia="方正黑体_GBK"/>
          <w:b/>
          <w:color w:val="000000" w:themeColor="text1"/>
          <w:sz w:val="32"/>
          <w:szCs w:val="32"/>
          <w14:textFill>
            <w14:solidFill>
              <w14:schemeClr w14:val="tx1"/>
            </w14:solidFill>
          </w14:textFill>
        </w:rPr>
      </w:pPr>
      <w:r>
        <w:rPr>
          <w:rFonts w:hint="eastAsia" w:ascii="方正黑体_GBK" w:hAnsi="微软雅黑" w:eastAsia="方正黑体_GBK"/>
          <w:b/>
          <w:color w:val="000000" w:themeColor="text1"/>
          <w:sz w:val="32"/>
          <w:szCs w:val="32"/>
          <w14:textFill>
            <w14:solidFill>
              <w14:schemeClr w14:val="tx1"/>
            </w14:solidFill>
          </w14:textFill>
        </w:rPr>
        <w:t>承诺书</w:t>
      </w:r>
    </w:p>
    <w:p>
      <w:pPr>
        <w:adjustRightInd w:val="0"/>
        <w:snapToGrid w:val="0"/>
        <w:spacing w:line="360" w:lineRule="auto"/>
        <w:jc w:val="center"/>
        <w:rPr>
          <w:rFonts w:ascii="微软雅黑" w:hAnsi="微软雅黑" w:eastAsia="微软雅黑"/>
          <w:color w:val="000000" w:themeColor="text1"/>
          <w:szCs w:val="21"/>
          <w14:textFill>
            <w14:solidFill>
              <w14:schemeClr w14:val="tx1"/>
            </w14:solidFill>
          </w14:textFill>
        </w:rPr>
      </w:pPr>
    </w:p>
    <w:p>
      <w:pPr>
        <w:adjustRightInd w:val="0"/>
        <w:snapToGrid w:val="0"/>
        <w:spacing w:line="360" w:lineRule="auto"/>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致：</w:t>
      </w:r>
    </w:p>
    <w:p>
      <w:pPr>
        <w:tabs>
          <w:tab w:val="left" w:pos="5580"/>
        </w:tabs>
        <w:adjustRightInd w:val="0"/>
        <w:snapToGrid w:val="0"/>
        <w:spacing w:line="360" w:lineRule="auto"/>
        <w:ind w:firstLine="420" w:firstLineChars="200"/>
        <w:rPr>
          <w:rFonts w:ascii="微软雅黑" w:hAnsi="微软雅黑" w:eastAsia="微软雅黑"/>
          <w:color w:val="000000" w:themeColor="text1"/>
          <w:szCs w:val="21"/>
          <w14:textFill>
            <w14:solidFill>
              <w14:schemeClr w14:val="tx1"/>
            </w14:solidFill>
          </w14:textFill>
        </w:rPr>
      </w:pPr>
    </w:p>
    <w:p>
      <w:pPr>
        <w:tabs>
          <w:tab w:val="left" w:pos="5580"/>
        </w:tabs>
        <w:adjustRightInd w:val="0"/>
        <w:snapToGrid w:val="0"/>
        <w:spacing w:line="360" w:lineRule="auto"/>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我单位郑重承诺在参加本项目政府采购活动前三年内，在经营活动中无重大违法记录，未受到政府部门给予不良记录和行政处罚。单位未处于被责令停业，财产被接管、冻结、破产状况。</w:t>
      </w:r>
    </w:p>
    <w:p>
      <w:pPr>
        <w:tabs>
          <w:tab w:val="left" w:pos="5580"/>
        </w:tabs>
        <w:adjustRightInd w:val="0"/>
        <w:snapToGrid w:val="0"/>
        <w:spacing w:line="360" w:lineRule="auto"/>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特此承诺。</w:t>
      </w:r>
    </w:p>
    <w:p>
      <w:pPr>
        <w:tabs>
          <w:tab w:val="left" w:pos="5580"/>
        </w:tabs>
        <w:adjustRightInd w:val="0"/>
        <w:snapToGrid w:val="0"/>
        <w:spacing w:line="360" w:lineRule="auto"/>
        <w:ind w:firstLine="420" w:firstLineChars="200"/>
        <w:rPr>
          <w:rFonts w:ascii="微软雅黑" w:hAnsi="微软雅黑" w:eastAsia="微软雅黑"/>
          <w:color w:val="000000" w:themeColor="text1"/>
          <w:szCs w:val="21"/>
          <w14:textFill>
            <w14:solidFill>
              <w14:schemeClr w14:val="tx1"/>
            </w14:solidFill>
          </w14:textFill>
        </w:rPr>
      </w:pPr>
    </w:p>
    <w:p>
      <w:pPr>
        <w:tabs>
          <w:tab w:val="left" w:pos="5580"/>
        </w:tabs>
        <w:adjustRightInd w:val="0"/>
        <w:snapToGrid w:val="0"/>
        <w:spacing w:line="360" w:lineRule="auto"/>
        <w:ind w:firstLine="420" w:firstLineChars="200"/>
        <w:rPr>
          <w:rFonts w:ascii="微软雅黑" w:hAnsi="微软雅黑" w:eastAsia="微软雅黑"/>
          <w:color w:val="000000" w:themeColor="text1"/>
          <w:szCs w:val="21"/>
          <w14:textFill>
            <w14:solidFill>
              <w14:schemeClr w14:val="tx1"/>
            </w14:solidFill>
          </w14:textFill>
        </w:rPr>
      </w:pPr>
    </w:p>
    <w:p>
      <w:pPr>
        <w:adjustRightInd w:val="0"/>
        <w:snapToGrid w:val="0"/>
        <w:spacing w:line="360" w:lineRule="auto"/>
        <w:rPr>
          <w:rFonts w:ascii="微软雅黑" w:hAnsi="微软雅黑" w:eastAsia="微软雅黑"/>
          <w:color w:val="000000" w:themeColor="text1"/>
          <w:szCs w:val="21"/>
          <w:u w:val="single"/>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供应商：</w:t>
      </w:r>
      <w:r>
        <w:rPr>
          <w:rFonts w:hint="eastAsia" w:ascii="微软雅黑" w:hAnsi="微软雅黑" w:eastAsia="微软雅黑"/>
          <w:color w:val="000000" w:themeColor="text1"/>
          <w:szCs w:val="21"/>
          <w:u w:val="single"/>
          <w14:textFill>
            <w14:solidFill>
              <w14:schemeClr w14:val="tx1"/>
            </w14:solidFill>
          </w14:textFill>
        </w:rPr>
        <w:t>（公章）</w:t>
      </w:r>
    </w:p>
    <w:p>
      <w:pPr>
        <w:tabs>
          <w:tab w:val="left" w:pos="5580"/>
        </w:tabs>
        <w:adjustRightInd w:val="0"/>
        <w:snapToGrid w:val="0"/>
        <w:spacing w:line="360" w:lineRule="auto"/>
        <w:rPr>
          <w:rFonts w:ascii="微软雅黑" w:hAnsi="微软雅黑" w:eastAsia="微软雅黑"/>
          <w:color w:val="000000" w:themeColor="text1"/>
          <w:szCs w:val="21"/>
          <w:u w:val="single"/>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法定代表人或其授权代理人：</w:t>
      </w:r>
      <w:r>
        <w:rPr>
          <w:rFonts w:hint="eastAsia" w:ascii="微软雅黑" w:hAnsi="微软雅黑" w:eastAsia="微软雅黑"/>
          <w:color w:val="000000" w:themeColor="text1"/>
          <w:szCs w:val="21"/>
          <w:u w:val="single"/>
          <w14:textFill>
            <w14:solidFill>
              <w14:schemeClr w14:val="tx1"/>
            </w14:solidFill>
          </w14:textFill>
        </w:rPr>
        <w:t>（签字或盖章）</w:t>
      </w:r>
    </w:p>
    <w:p>
      <w:pPr>
        <w:tabs>
          <w:tab w:val="left" w:pos="5580"/>
        </w:tabs>
        <w:adjustRightInd w:val="0"/>
        <w:snapToGrid w:val="0"/>
        <w:spacing w:line="360" w:lineRule="auto"/>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日期：_____年______月______日</w:t>
      </w:r>
    </w:p>
    <w:p>
      <w:pPr>
        <w:tabs>
          <w:tab w:val="left" w:pos="5580"/>
        </w:tabs>
        <w:adjustRightInd w:val="0"/>
        <w:snapToGrid w:val="0"/>
        <w:spacing w:line="360" w:lineRule="auto"/>
        <w:rPr>
          <w:rFonts w:ascii="微软雅黑" w:hAnsi="微软雅黑" w:eastAsia="微软雅黑"/>
          <w:color w:val="000000" w:themeColor="text1"/>
          <w:szCs w:val="21"/>
          <w14:textFill>
            <w14:solidFill>
              <w14:schemeClr w14:val="tx1"/>
            </w14:solidFill>
          </w14:textFill>
        </w:rPr>
      </w:pPr>
    </w:p>
    <w:p>
      <w:pPr>
        <w:tabs>
          <w:tab w:val="left" w:pos="5580"/>
        </w:tabs>
        <w:adjustRightInd w:val="0"/>
        <w:snapToGrid w:val="0"/>
        <w:spacing w:line="360" w:lineRule="auto"/>
        <w:rPr>
          <w:rFonts w:ascii="微软雅黑" w:hAnsi="微软雅黑" w:eastAsia="微软雅黑"/>
          <w:color w:val="000000" w:themeColor="text1"/>
          <w:szCs w:val="21"/>
          <w14:textFill>
            <w14:solidFill>
              <w14:schemeClr w14:val="tx1"/>
            </w14:solidFill>
          </w14:textFill>
        </w:rPr>
      </w:pPr>
    </w:p>
    <w:p>
      <w:pPr>
        <w:pStyle w:val="22"/>
        <w:tabs>
          <w:tab w:val="left" w:pos="5580"/>
        </w:tabs>
        <w:adjustRightInd w:val="0"/>
        <w:snapToGrid w:val="0"/>
        <w:spacing w:line="360" w:lineRule="auto"/>
        <w:rPr>
          <w:rFonts w:ascii="微软雅黑" w:hAnsi="微软雅黑" w:eastAsia="微软雅黑"/>
          <w:color w:val="000000" w:themeColor="text1"/>
          <w:sz w:val="21"/>
          <w:szCs w:val="21"/>
          <w14:textFill>
            <w14:solidFill>
              <w14:schemeClr w14:val="tx1"/>
            </w14:solidFill>
          </w14:textFill>
        </w:rPr>
      </w:pPr>
    </w:p>
    <w:p>
      <w:pPr>
        <w:adjustRightInd w:val="0"/>
        <w:snapToGrid w:val="0"/>
        <w:spacing w:line="360" w:lineRule="auto"/>
        <w:rPr>
          <w:rFonts w:asciiTheme="minorEastAsia" w:hAnsiTheme="minorEastAsia" w:eastAsiaTheme="minorEastAsia"/>
          <w:b/>
          <w:color w:val="000000" w:themeColor="text1"/>
          <w:sz w:val="24"/>
          <w:szCs w:val="21"/>
          <w14:textFill>
            <w14:solidFill>
              <w14:schemeClr w14:val="tx1"/>
            </w14:solidFill>
          </w14:textFill>
        </w:rPr>
      </w:pPr>
    </w:p>
    <w:p>
      <w:pPr>
        <w:adjustRightInd w:val="0"/>
        <w:snapToGrid w:val="0"/>
        <w:spacing w:line="360" w:lineRule="auto"/>
        <w:rPr>
          <w:rFonts w:asciiTheme="minorEastAsia" w:hAnsiTheme="minorEastAsia" w:eastAsiaTheme="minorEastAsia"/>
          <w:b/>
          <w:bCs/>
          <w:color w:val="000000" w:themeColor="text1"/>
          <w:sz w:val="24"/>
          <w:szCs w:val="21"/>
          <w14:textFill>
            <w14:solidFill>
              <w14:schemeClr w14:val="tx1"/>
            </w14:solidFill>
          </w14:textFill>
        </w:rPr>
      </w:pPr>
    </w:p>
    <w:p>
      <w:pPr>
        <w:rPr>
          <w:color w:val="000000" w:themeColor="text1"/>
          <w14:textFill>
            <w14:solidFill>
              <w14:schemeClr w14:val="tx1"/>
            </w14:solidFill>
          </w14:textFill>
        </w:rPr>
      </w:pPr>
      <w:r>
        <w:rPr>
          <w:color w:val="000000" w:themeColor="text1"/>
          <w14:textFill>
            <w14:solidFill>
              <w14:schemeClr w14:val="tx1"/>
            </w14:solidFill>
          </w14:textFill>
        </w:rPr>
        <w:br w:type="page"/>
      </w:r>
    </w:p>
    <w:p>
      <w:pPr>
        <w:pStyle w:val="3"/>
        <w:rPr>
          <w:rFonts w:ascii="微软雅黑" w:hAnsi="微软雅黑" w:eastAsia="微软雅黑"/>
          <w:color w:val="000000" w:themeColor="text1"/>
          <w:sz w:val="32"/>
          <w14:textFill>
            <w14:solidFill>
              <w14:schemeClr w14:val="tx1"/>
            </w14:solidFill>
          </w14:textFill>
        </w:rPr>
      </w:pPr>
      <w:bookmarkStart w:id="83" w:name="_Toc699"/>
      <w:bookmarkStart w:id="84" w:name="_Toc10213461"/>
      <w:r>
        <w:rPr>
          <w:rFonts w:hint="eastAsia" w:ascii="微软雅黑" w:hAnsi="微软雅黑" w:eastAsia="微软雅黑"/>
          <w:color w:val="000000" w:themeColor="text1"/>
          <w:sz w:val="32"/>
          <w14:textFill>
            <w14:solidFill>
              <w14:schemeClr w14:val="tx1"/>
            </w14:solidFill>
          </w14:textFill>
        </w:rPr>
        <w:t>四、项目施工方案</w:t>
      </w:r>
      <w:bookmarkEnd w:id="83"/>
      <w:bookmarkEnd w:id="84"/>
    </w:p>
    <w:p>
      <w:pPr>
        <w:tabs>
          <w:tab w:val="left" w:pos="540"/>
          <w:tab w:val="left" w:pos="644"/>
          <w:tab w:val="left" w:pos="1080"/>
        </w:tabs>
        <w:adjustRightInd w:val="0"/>
        <w:snapToGrid w:val="0"/>
        <w:spacing w:line="360" w:lineRule="auto"/>
        <w:jc w:val="center"/>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（格式自定）</w:t>
      </w:r>
    </w:p>
    <w:p>
      <w:pPr>
        <w:tabs>
          <w:tab w:val="left" w:pos="540"/>
          <w:tab w:val="left" w:pos="644"/>
          <w:tab w:val="left" w:pos="1080"/>
        </w:tabs>
        <w:adjustRightInd w:val="0"/>
        <w:snapToGrid w:val="0"/>
        <w:spacing w:line="360" w:lineRule="auto"/>
        <w:rPr>
          <w:rFonts w:ascii="微软雅黑" w:hAnsi="微软雅黑" w:eastAsia="微软雅黑"/>
          <w:b/>
          <w:bCs/>
          <w:color w:val="000000" w:themeColor="text1"/>
          <w:szCs w:val="21"/>
          <w14:textFill>
            <w14:solidFill>
              <w14:schemeClr w14:val="tx1"/>
            </w14:solidFill>
          </w14:textFill>
        </w:rPr>
      </w:pPr>
    </w:p>
    <w:p>
      <w:pPr>
        <w:tabs>
          <w:tab w:val="left" w:pos="540"/>
          <w:tab w:val="left" w:pos="644"/>
          <w:tab w:val="left" w:pos="1080"/>
        </w:tabs>
        <w:adjustRightInd w:val="0"/>
        <w:snapToGrid w:val="0"/>
        <w:spacing w:line="360" w:lineRule="auto"/>
        <w:rPr>
          <w:rFonts w:ascii="微软雅黑" w:hAnsi="微软雅黑" w:eastAsia="微软雅黑"/>
          <w:b/>
          <w:bCs/>
          <w:color w:val="000000" w:themeColor="text1"/>
          <w:szCs w:val="21"/>
          <w14:textFill>
            <w14:solidFill>
              <w14:schemeClr w14:val="tx1"/>
            </w14:solidFill>
          </w14:textFill>
        </w:rPr>
      </w:pPr>
      <w:r>
        <w:rPr>
          <w:rFonts w:hint="eastAsia" w:ascii="微软雅黑" w:hAnsi="微软雅黑" w:eastAsia="微软雅黑"/>
          <w:b/>
          <w:bCs/>
          <w:color w:val="000000" w:themeColor="text1"/>
          <w:szCs w:val="21"/>
          <w14:textFill>
            <w14:solidFill>
              <w14:schemeClr w14:val="tx1"/>
            </w14:solidFill>
          </w14:textFill>
        </w:rPr>
        <w:t>注：供应商需根据技术要求等的情况提供符合本项目的具体施工方案。</w:t>
      </w:r>
    </w:p>
    <w:p>
      <w:pPr>
        <w:rPr>
          <w:rFonts w:ascii="微软雅黑" w:hAnsi="微软雅黑" w:eastAsia="微软雅黑"/>
          <w:b/>
          <w:bCs/>
          <w:color w:val="000000" w:themeColor="text1"/>
          <w:szCs w:val="21"/>
          <w14:textFill>
            <w14:solidFill>
              <w14:schemeClr w14:val="tx1"/>
            </w14:solidFill>
          </w14:textFill>
        </w:rPr>
      </w:pPr>
      <w:r>
        <w:rPr>
          <w:rFonts w:ascii="微软雅黑" w:hAnsi="微软雅黑" w:eastAsia="微软雅黑"/>
          <w:b/>
          <w:bCs/>
          <w:color w:val="000000" w:themeColor="text1"/>
          <w:szCs w:val="21"/>
          <w14:textFill>
            <w14:solidFill>
              <w14:schemeClr w14:val="tx1"/>
            </w14:solidFill>
          </w14:textFill>
        </w:rPr>
        <w:br w:type="page"/>
      </w:r>
    </w:p>
    <w:bookmarkEnd w:id="82"/>
    <w:p>
      <w:pPr>
        <w:pStyle w:val="2"/>
        <w:keepLines w:val="0"/>
        <w:widowControl w:val="0"/>
        <w:tabs>
          <w:tab w:val="left" w:pos="1530"/>
          <w:tab w:val="left" w:pos="3360"/>
          <w:tab w:val="left" w:pos="8052"/>
        </w:tabs>
        <w:adjustRightInd/>
        <w:spacing w:line="480" w:lineRule="auto"/>
        <w:ind w:left="1531" w:hanging="1531"/>
        <w:rPr>
          <w:rFonts w:ascii="微软雅黑" w:hAnsi="微软雅黑" w:eastAsia="微软雅黑"/>
          <w:bCs w:val="0"/>
          <w:color w:val="000000" w:themeColor="text1"/>
          <w:kern w:val="2"/>
          <w:szCs w:val="36"/>
          <w14:textFill>
            <w14:solidFill>
              <w14:schemeClr w14:val="tx1"/>
            </w14:solidFill>
          </w14:textFill>
        </w:rPr>
      </w:pPr>
      <w:bookmarkStart w:id="85" w:name="_Toc330205892"/>
      <w:bookmarkStart w:id="86" w:name="_Toc15858"/>
      <w:r>
        <w:rPr>
          <w:rFonts w:hint="eastAsia" w:ascii="微软雅黑" w:hAnsi="微软雅黑" w:eastAsia="微软雅黑"/>
          <w:bCs w:val="0"/>
          <w:color w:val="000000" w:themeColor="text1"/>
          <w:kern w:val="2"/>
          <w:szCs w:val="36"/>
          <w14:textFill>
            <w14:solidFill>
              <w14:schemeClr w14:val="tx1"/>
            </w14:solidFill>
          </w14:textFill>
        </w:rPr>
        <w:t>第六章、评审办法</w:t>
      </w:r>
      <w:bookmarkEnd w:id="85"/>
      <w:bookmarkEnd w:id="86"/>
    </w:p>
    <w:p>
      <w:pPr>
        <w:adjustRightInd w:val="0"/>
        <w:snapToGrid w:val="0"/>
        <w:spacing w:line="440" w:lineRule="exact"/>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一、评审原则与标准</w:t>
      </w:r>
    </w:p>
    <w:p>
      <w:pPr>
        <w:adjustRightInd w:val="0"/>
        <w:snapToGrid w:val="0"/>
        <w:spacing w:line="440" w:lineRule="exact"/>
        <w:ind w:firstLine="48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评审原则是指评审小组成员在评审活动中应遵循的原则，即“公平、公正、科学、择优”的原则和评审保密原则。</w:t>
      </w:r>
    </w:p>
    <w:p>
      <w:pPr>
        <w:adjustRightInd w:val="0"/>
        <w:snapToGrid w:val="0"/>
        <w:spacing w:line="440" w:lineRule="exact"/>
        <w:rPr>
          <w:rFonts w:ascii="微软雅黑" w:hAnsi="微软雅黑" w:eastAsia="微软雅黑"/>
          <w:b/>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二、评审方法</w:t>
      </w:r>
    </w:p>
    <w:p>
      <w:pPr>
        <w:adjustRightInd w:val="0"/>
        <w:snapToGrid w:val="0"/>
        <w:spacing w:line="440" w:lineRule="exact"/>
        <w:ind w:firstLine="48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本次评审采用最低评标价法。</w:t>
      </w:r>
    </w:p>
    <w:p>
      <w:pPr>
        <w:numPr>
          <w:ilvl w:val="0"/>
          <w:numId w:val="2"/>
        </w:numPr>
        <w:adjustRightInd w:val="0"/>
        <w:snapToGrid w:val="0"/>
        <w:spacing w:line="440" w:lineRule="exac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b/>
          <w:color w:val="000000" w:themeColor="text1"/>
          <w:szCs w:val="21"/>
          <w14:textFill>
            <w14:solidFill>
              <w14:schemeClr w14:val="tx1"/>
            </w14:solidFill>
          </w14:textFill>
        </w:rPr>
        <w:t>评分标准</w:t>
      </w:r>
    </w:p>
    <w:p>
      <w:pPr>
        <w:tabs>
          <w:tab w:val="left" w:pos="3558"/>
        </w:tabs>
        <w:ind w:firstLine="420" w:firstLineChars="200"/>
        <w:rPr>
          <w:rFonts w:ascii="微软雅黑" w:hAnsi="微软雅黑" w:eastAsia="微软雅黑" w:cs="TimesNewRomanPSMT"/>
          <w:color w:val="000000" w:themeColor="text1"/>
          <w:kern w:val="0"/>
          <w:szCs w:val="21"/>
          <w14:textFill>
            <w14:solidFill>
              <w14:schemeClr w14:val="tx1"/>
            </w14:solidFill>
          </w14:textFill>
        </w:rPr>
      </w:pPr>
      <w:r>
        <w:rPr>
          <w:rFonts w:hint="eastAsia" w:ascii="微软雅黑" w:hAnsi="微软雅黑" w:eastAsia="微软雅黑" w:cs="TimesNewRomanPSMT"/>
          <w:color w:val="000000" w:themeColor="text1"/>
          <w:kern w:val="0"/>
          <w:szCs w:val="21"/>
          <w14:textFill>
            <w14:solidFill>
              <w14:schemeClr w14:val="tx1"/>
            </w14:solidFill>
          </w14:textFill>
        </w:rPr>
        <w:t>评审小组采用最低评标价法对供应商的响应文件进行评审。对比选文件项目要求均能满足要求的供应商，选择报价最低的成为成交供应商。</w:t>
      </w:r>
    </w:p>
    <w:p>
      <w:pPr>
        <w:tabs>
          <w:tab w:val="left" w:pos="3558"/>
        </w:tabs>
        <w:ind w:firstLine="420" w:firstLineChars="200"/>
        <w:rPr>
          <w:rFonts w:ascii="微软雅黑" w:hAnsi="微软雅黑" w:eastAsia="微软雅黑" w:cs="TimesNewRomanPSMT"/>
          <w:color w:val="000000" w:themeColor="text1"/>
          <w:kern w:val="0"/>
          <w:szCs w:val="21"/>
          <w14:textFill>
            <w14:solidFill>
              <w14:schemeClr w14:val="tx1"/>
            </w14:solidFill>
          </w14:textFill>
        </w:rPr>
      </w:pPr>
      <w:r>
        <w:rPr>
          <w:rFonts w:hint="eastAsia" w:ascii="微软雅黑" w:hAnsi="微软雅黑" w:eastAsia="微软雅黑" w:cs="TimesNewRomanPSMT"/>
          <w:color w:val="000000" w:themeColor="text1"/>
          <w:kern w:val="0"/>
          <w:szCs w:val="21"/>
          <w14:textFill>
            <w14:solidFill>
              <w14:schemeClr w14:val="tx1"/>
            </w14:solidFill>
          </w14:textFill>
        </w:rPr>
        <w:t>若报价最低的供应商数量大于或等于2家的，由采购人根据其他条件择优选择其中一家。</w:t>
      </w:r>
    </w:p>
    <w:p>
      <w:pPr>
        <w:jc w:val="center"/>
        <w:rPr>
          <w:color w:val="000000" w:themeColor="text1"/>
          <w14:textFill>
            <w14:solidFill>
              <w14:schemeClr w14:val="tx1"/>
            </w14:solidFill>
          </w14:textFill>
        </w:rPr>
      </w:pPr>
      <w:r>
        <w:rPr>
          <w:rFonts w:hint="eastAsia" w:ascii="黑体" w:hAnsi="黑体" w:eastAsia="黑体"/>
          <w:color w:val="000000" w:themeColor="text1"/>
          <w:szCs w:val="21"/>
          <w14:textFill>
            <w14:solidFill>
              <w14:schemeClr w14:val="tx1"/>
            </w14:solidFill>
          </w14:textFill>
        </w:rPr>
        <w:t>（结束）</w:t>
      </w:r>
    </w:p>
    <w:p>
      <w:pPr>
        <w:rPr>
          <w:rFonts w:ascii="黑体" w:hAnsi="黑体" w:eastAsia="黑体" w:cs="黑体"/>
          <w:bCs/>
          <w:color w:val="000000" w:themeColor="text1"/>
          <w:szCs w:val="21"/>
          <w14:textFill>
            <w14:solidFill>
              <w14:schemeClr w14:val="tx1"/>
            </w14:solidFill>
          </w14:textFill>
        </w:rPr>
      </w:pPr>
    </w:p>
    <w:sectPr>
      <w:headerReference r:id="rId12" w:type="default"/>
      <w:footerReference r:id="rId13" w:type="default"/>
      <w:pgSz w:w="11906" w:h="16838"/>
      <w:pgMar w:top="851" w:right="1134" w:bottom="851"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E00006FF" w:usb1="420024FF" w:usb2="02000000" w:usb3="00000000" w:csb0="2000019F" w:csb1="00000000"/>
  </w:font>
  <w:font w:name="微软简楷体">
    <w:altName w:val="宋体"/>
    <w:panose1 w:val="00000000000000000000"/>
    <w:charset w:val="86"/>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Century Gothic">
    <w:altName w:val="NumberOnly"/>
    <w:panose1 w:val="020B0502020202020204"/>
    <w:charset w:val="00"/>
    <w:family w:val="swiss"/>
    <w:pitch w:val="default"/>
    <w:sig w:usb0="00000000" w:usb1="00000000" w:usb2="00000000" w:usb3="00000000" w:csb0="0000009F" w:csb1="00000000"/>
  </w:font>
  <w:font w:name="NumberOnly">
    <w:panose1 w:val="020B0500000000000000"/>
    <w:charset w:val="00"/>
    <w:family w:val="auto"/>
    <w:pitch w:val="default"/>
    <w:sig w:usb0="8000002F" w:usb1="10000048" w:usb2="00000000" w:usb3="00000000" w:csb0="00000111" w:csb1="40000000"/>
  </w:font>
  <w:font w:name="Helvetica-Black">
    <w:altName w:val="DejaVu Math TeX Gyre"/>
    <w:panose1 w:val="00000000000000000000"/>
    <w:charset w:val="00"/>
    <w:family w:val="swiss"/>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Verdana">
    <w:panose1 w:val="020B0604030504040204"/>
    <w:charset w:val="00"/>
    <w:family w:val="swiss"/>
    <w:pitch w:val="default"/>
    <w:sig w:usb0="A00006FF" w:usb1="4000205B" w:usb2="00000010" w:usb3="00000000" w:csb0="2000019F" w:csb1="00000000"/>
  </w:font>
  <w:font w:name="Frutiger 55 Roman">
    <w:altName w:val="DejaVu Math TeX Gyre"/>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rPr>
        <w:rFonts w:ascii="仿宋_GB2312" w:hAnsi="宋体" w:eastAsia="仿宋_GB2312"/>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仿宋_GB2312" w:hAnsi="宋体" w:eastAsia="仿宋_GB2312"/>
      </w:rPr>
      <w:t>中招国际招标有限公司重庆分公司</w:t>
    </w:r>
    <w:r>
      <w:rPr>
        <w:rFonts w:hint="eastAsia" w:ascii="仿宋_GB2312" w:hAnsi="宋体" w:eastAsia="仿宋_GB2312"/>
        <w:bCs/>
      </w:rPr>
      <w:t>地址</w:t>
    </w:r>
    <w:r>
      <w:rPr>
        <w:rFonts w:hint="eastAsia" w:ascii="仿宋_GB2312" w:hAnsi="宋体" w:eastAsia="仿宋_GB2312"/>
        <w:bCs/>
        <w:sz w:val="21"/>
      </w:rPr>
      <w:t>：</w:t>
    </w:r>
    <w:r>
      <w:rPr>
        <w:rFonts w:hint="eastAsia" w:ascii="仿宋_GB2312" w:hAnsi="宋体" w:eastAsia="仿宋_GB2312"/>
      </w:rPr>
      <w:t>重庆渝北区黄山大道中段53号5-1（双鱼座A栋5楼）</w:t>
    </w:r>
  </w:p>
  <w:p>
    <w:pPr>
      <w:pStyle w:val="26"/>
      <w:ind w:right="360"/>
      <w:rPr>
        <w:rFonts w:ascii="仿宋_GB2312" w:hAnsi="宋体" w:eastAsia="仿宋_GB2312"/>
      </w:rPr>
    </w:pPr>
    <w:r>
      <w:rPr>
        <w:rFonts w:hint="eastAsia" w:ascii="仿宋_GB2312" w:hAnsi="宋体" w:eastAsia="仿宋_GB2312"/>
      </w:rPr>
      <w:t>电话：023-68881331   传真：023-68696636</w:t>
    </w:r>
  </w:p>
  <w:p>
    <w:pPr>
      <w:pStyle w:val="26"/>
      <w:jc w:val="center"/>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3"/>
      </w:rPr>
    </w:pPr>
    <w:r>
      <w:fldChar w:fldCharType="begin"/>
    </w:r>
    <w:r>
      <w:rPr>
        <w:rStyle w:val="43"/>
      </w:rPr>
      <w:instrText xml:space="preserve">PAGE  </w:instrText>
    </w:r>
    <w:r>
      <w:fldChar w:fldCharType="end"/>
    </w:r>
  </w:p>
  <w:p>
    <w:pPr>
      <w:pStyle w:val="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eastAsia="Times New Roman"/>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6"/>
                            <w:rPr>
                              <w:rFonts w:ascii="宋体" w:hAnsi="宋体" w:cs="宋体"/>
                              <w:sz w:val="24"/>
                              <w:szCs w:val="28"/>
                            </w:rPr>
                          </w:pPr>
                          <w:r>
                            <w:rPr>
                              <w:rFonts w:hint="eastAsia" w:ascii="宋体" w:hAnsi="宋体" w:cs="宋体"/>
                              <w:sz w:val="24"/>
                              <w:szCs w:val="28"/>
                            </w:rPr>
                            <w:t xml:space="preserve">— </w:t>
                          </w:r>
                          <w:r>
                            <w:rPr>
                              <w:rFonts w:hint="eastAsia" w:ascii="宋体" w:hAnsi="宋体" w:cs="宋体"/>
                              <w:sz w:val="24"/>
                              <w:szCs w:val="28"/>
                            </w:rPr>
                            <w:fldChar w:fldCharType="begin"/>
                          </w:r>
                          <w:r>
                            <w:rPr>
                              <w:rFonts w:hint="eastAsia" w:ascii="宋体" w:hAnsi="宋体" w:cs="宋体"/>
                              <w:sz w:val="24"/>
                              <w:szCs w:val="28"/>
                            </w:rPr>
                            <w:instrText xml:space="preserve"> PAGE  \* MERGEFORMAT </w:instrText>
                          </w:r>
                          <w:r>
                            <w:rPr>
                              <w:rFonts w:hint="eastAsia" w:ascii="宋体" w:hAnsi="宋体" w:cs="宋体"/>
                              <w:sz w:val="24"/>
                              <w:szCs w:val="28"/>
                            </w:rPr>
                            <w:fldChar w:fldCharType="separate"/>
                          </w:r>
                          <w:r>
                            <w:rPr>
                              <w:rFonts w:ascii="宋体" w:hAnsi="宋体" w:cs="宋体"/>
                              <w:sz w:val="24"/>
                              <w:szCs w:val="28"/>
                            </w:rPr>
                            <w:t>2</w:t>
                          </w:r>
                          <w:r>
                            <w:rPr>
                              <w:rFonts w:hint="eastAsia" w:ascii="宋体" w:hAnsi="宋体" w:cs="宋体"/>
                              <w:sz w:val="24"/>
                              <w:szCs w:val="28"/>
                            </w:rPr>
                            <w:fldChar w:fldCharType="end"/>
                          </w:r>
                          <w:r>
                            <w:rPr>
                              <w:rFonts w:hint="eastAsia" w:ascii="宋体" w:hAnsi="宋体" w:cs="宋体"/>
                              <w:sz w:val="24"/>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pPr>
                      <w:pStyle w:val="26"/>
                      <w:rPr>
                        <w:rFonts w:ascii="宋体" w:hAnsi="宋体" w:cs="宋体"/>
                        <w:sz w:val="24"/>
                        <w:szCs w:val="28"/>
                      </w:rPr>
                    </w:pPr>
                    <w:r>
                      <w:rPr>
                        <w:rFonts w:hint="eastAsia" w:ascii="宋体" w:hAnsi="宋体" w:cs="宋体"/>
                        <w:sz w:val="24"/>
                        <w:szCs w:val="28"/>
                      </w:rPr>
                      <w:t xml:space="preserve">— </w:t>
                    </w:r>
                    <w:r>
                      <w:rPr>
                        <w:rFonts w:hint="eastAsia" w:ascii="宋体" w:hAnsi="宋体" w:cs="宋体"/>
                        <w:sz w:val="24"/>
                        <w:szCs w:val="28"/>
                      </w:rPr>
                      <w:fldChar w:fldCharType="begin"/>
                    </w:r>
                    <w:r>
                      <w:rPr>
                        <w:rFonts w:hint="eastAsia" w:ascii="宋体" w:hAnsi="宋体" w:cs="宋体"/>
                        <w:sz w:val="24"/>
                        <w:szCs w:val="28"/>
                      </w:rPr>
                      <w:instrText xml:space="preserve"> PAGE  \* MERGEFORMAT </w:instrText>
                    </w:r>
                    <w:r>
                      <w:rPr>
                        <w:rFonts w:hint="eastAsia" w:ascii="宋体" w:hAnsi="宋体" w:cs="宋体"/>
                        <w:sz w:val="24"/>
                        <w:szCs w:val="28"/>
                      </w:rPr>
                      <w:fldChar w:fldCharType="separate"/>
                    </w:r>
                    <w:r>
                      <w:rPr>
                        <w:rFonts w:ascii="宋体" w:hAnsi="宋体" w:cs="宋体"/>
                        <w:sz w:val="24"/>
                        <w:szCs w:val="28"/>
                      </w:rPr>
                      <w:t>2</w:t>
                    </w:r>
                    <w:r>
                      <w:rPr>
                        <w:rFonts w:hint="eastAsia" w:ascii="宋体" w:hAnsi="宋体" w:cs="宋体"/>
                        <w:sz w:val="24"/>
                        <w:szCs w:val="28"/>
                      </w:rPr>
                      <w:fldChar w:fldCharType="end"/>
                    </w:r>
                    <w:r>
                      <w:rPr>
                        <w:rFonts w:hint="eastAsia" w:ascii="宋体" w:hAnsi="宋体" w:cs="宋体"/>
                        <w:sz w:val="24"/>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eastAsia="Times New Roman"/>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829945" cy="204470"/>
              <wp:effectExtent l="0" t="0" r="0"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829945" cy="204470"/>
                      </a:xfrm>
                      <a:prstGeom prst="rect">
                        <a:avLst/>
                      </a:prstGeom>
                      <a:noFill/>
                      <a:ln>
                        <a:noFill/>
                      </a:ln>
                      <a:effectLst/>
                    </wps:spPr>
                    <wps:txbx>
                      <w:txbxContent>
                        <w:p>
                          <w:pPr>
                            <w:pStyle w:val="2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15</w:t>
                          </w:r>
                          <w:r>
                            <w:rPr>
                              <w:sz w:val="28"/>
                              <w:szCs w:val="28"/>
                            </w:rPr>
                            <w:fldChar w:fldCharType="end"/>
                          </w:r>
                        </w:p>
                      </w:txbxContent>
                    </wps:txbx>
                    <wps:bodyPr rot="0" vert="horz" wrap="none" lIns="0" tIns="0" rIns="0" bIns="0" anchor="t" anchorCtr="0" upright="1">
                      <a:spAutoFit/>
                    </wps:bodyPr>
                  </wps:wsp>
                </a:graphicData>
              </a:graphic>
            </wp:anchor>
          </w:drawing>
        </mc:Choice>
        <mc:Fallback>
          <w:pict>
            <v:shape id="Text Box 2" o:spid="_x0000_s1026" o:spt="202" type="#_x0000_t202" style="position:absolute;left:0pt;margin-top:0pt;height:16.1pt;width:65.35pt;mso-position-horizontal:center;mso-position-horizontal-relative:margin;mso-wrap-style:none;z-index:251660288;mso-width-relative:page;mso-height-relative:page;" filled="f" stroked="f" coordsize="21600,21600" o:gfxdata="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NLx3S0QAAAAQBAAAPAAAAAAAAAAEAIAAAACIAAABkcnMvZG93bnJldi54bWxQ&#10;SwECFAAUAAAACACHTuJAo8s7Bv4BAAAPBAAADgAAAAAAAAABACAAAAAgAQAAZHJzL2Uyb0RvYy54&#10;bWxQSwUGAAAAAAYABgBZAQAAkAUAAAAA&#10;">
              <v:fill on="f" focussize="0,0"/>
              <v:stroke on="f"/>
              <v:imagedata o:title=""/>
              <o:lock v:ext="edit" aspectratio="f"/>
              <v:textbox inset="0mm,0mm,0mm,0mm" style="mso-fit-shape-to-text:t;">
                <w:txbxContent>
                  <w:p>
                    <w:pPr>
                      <w:pStyle w:val="2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15</w:t>
                    </w:r>
                    <w:r>
                      <w:rPr>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1"/>
      </w:pBdr>
      <w:ind w:left="5220" w:hanging="5220" w:hangingChars="2900"/>
      <w:jc w:val="left"/>
      <w:rPr>
        <w:rFonts w:ascii="黑体" w:eastAsia="黑体"/>
      </w:rPr>
    </w:pPr>
    <w:r>
      <w:rPr>
        <w:rFonts w:hint="eastAsia" w:ascii="黑体" w:eastAsia="黑体"/>
      </w:rPr>
      <w:t>北京理工大学重庆创新中心空间文化提升项目</w:t>
    </w:r>
    <w:r>
      <w:rPr>
        <w:rFonts w:ascii="方正仿宋_GBK" w:eastAsia="方正仿宋_GBK"/>
        <w:sz w:val="21"/>
        <w:szCs w:val="24"/>
      </w:rPr>
      <w:object>
        <v:shape id="_x0000_i1025" o:spt="75" type="#_x0000_t75" style="height:21.6pt;width:21pt;" o:ole="t" filled="f" o:preferrelative="t" stroked="f" coordsize="21600,21600">
          <v:path/>
          <v:fill on="f" focussize="0,0"/>
          <v:stroke on="f" joinstyle="miter"/>
          <v:imagedata r:id="rId2" embosscolor="#FFFFFF" o:title=""/>
          <o:lock v:ext="edit" aspectratio="t"/>
          <w10:wrap type="none"/>
          <w10:anchorlock/>
        </v:shape>
        <o:OLEObject Type="Embed" ProgID="PBrush" ShapeID="_x0000_i1025" DrawAspect="Content" ObjectID="_1468075725" r:id="rId1">
          <o:LockedField>false</o:LockedField>
        </o:OLEObject>
      </w:object>
    </w:r>
    <w:r>
      <w:rPr>
        <w:rFonts w:hint="eastAsia" w:ascii="黑体" w:eastAsia="黑体"/>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D69602"/>
    <w:multiLevelType w:val="singleLevel"/>
    <w:tmpl w:val="CDD69602"/>
    <w:lvl w:ilvl="0" w:tentative="0">
      <w:start w:val="4"/>
      <w:numFmt w:val="decimal"/>
      <w:suff w:val="nothing"/>
      <w:lvlText w:val="%1、"/>
      <w:lvlJc w:val="left"/>
    </w:lvl>
  </w:abstractNum>
  <w:abstractNum w:abstractNumId="1">
    <w:nsid w:val="5987C441"/>
    <w:multiLevelType w:val="singleLevel"/>
    <w:tmpl w:val="5987C441"/>
    <w:lvl w:ilvl="0" w:tentative="0">
      <w:start w:val="3"/>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lMjNiYTM1NjZhYzEyNWEwMTE3NjQxNWM3YWQzZGQifQ=="/>
  </w:docVars>
  <w:rsids>
    <w:rsidRoot w:val="00050E81"/>
    <w:rsid w:val="00004192"/>
    <w:rsid w:val="00005D3B"/>
    <w:rsid w:val="00007EC4"/>
    <w:rsid w:val="000125A6"/>
    <w:rsid w:val="00016457"/>
    <w:rsid w:val="00017691"/>
    <w:rsid w:val="00024EE4"/>
    <w:rsid w:val="000309D6"/>
    <w:rsid w:val="0003529B"/>
    <w:rsid w:val="00050E81"/>
    <w:rsid w:val="00052D5F"/>
    <w:rsid w:val="0006389B"/>
    <w:rsid w:val="0007298D"/>
    <w:rsid w:val="000826D2"/>
    <w:rsid w:val="0008483E"/>
    <w:rsid w:val="00085BF6"/>
    <w:rsid w:val="0008753F"/>
    <w:rsid w:val="00091E41"/>
    <w:rsid w:val="000939B9"/>
    <w:rsid w:val="00096C3C"/>
    <w:rsid w:val="00097AAD"/>
    <w:rsid w:val="00097D2E"/>
    <w:rsid w:val="000A62FF"/>
    <w:rsid w:val="000B12FA"/>
    <w:rsid w:val="000B649D"/>
    <w:rsid w:val="000B6CC8"/>
    <w:rsid w:val="000C3EA5"/>
    <w:rsid w:val="000D2FBB"/>
    <w:rsid w:val="000D386C"/>
    <w:rsid w:val="000D409D"/>
    <w:rsid w:val="000E6FD9"/>
    <w:rsid w:val="000E7285"/>
    <w:rsid w:val="000F40BC"/>
    <w:rsid w:val="00101C20"/>
    <w:rsid w:val="001150F7"/>
    <w:rsid w:val="001217DD"/>
    <w:rsid w:val="00142098"/>
    <w:rsid w:val="00145D4B"/>
    <w:rsid w:val="00145F9B"/>
    <w:rsid w:val="00146DC9"/>
    <w:rsid w:val="00151294"/>
    <w:rsid w:val="0015222E"/>
    <w:rsid w:val="00157EAD"/>
    <w:rsid w:val="0016119F"/>
    <w:rsid w:val="00164072"/>
    <w:rsid w:val="001647E4"/>
    <w:rsid w:val="00164EF8"/>
    <w:rsid w:val="0016500E"/>
    <w:rsid w:val="0017023C"/>
    <w:rsid w:val="001733F1"/>
    <w:rsid w:val="001855BE"/>
    <w:rsid w:val="00187015"/>
    <w:rsid w:val="00191BF0"/>
    <w:rsid w:val="0019276D"/>
    <w:rsid w:val="001930F3"/>
    <w:rsid w:val="001A57A5"/>
    <w:rsid w:val="001A6C27"/>
    <w:rsid w:val="001A7517"/>
    <w:rsid w:val="001B0255"/>
    <w:rsid w:val="001B1BBD"/>
    <w:rsid w:val="001B6272"/>
    <w:rsid w:val="001C12A3"/>
    <w:rsid w:val="001C14CC"/>
    <w:rsid w:val="001C2787"/>
    <w:rsid w:val="001C34CB"/>
    <w:rsid w:val="001C4849"/>
    <w:rsid w:val="001D045A"/>
    <w:rsid w:val="001D43E4"/>
    <w:rsid w:val="001D45B0"/>
    <w:rsid w:val="001D63F7"/>
    <w:rsid w:val="001E0A7E"/>
    <w:rsid w:val="001E53A2"/>
    <w:rsid w:val="001E5852"/>
    <w:rsid w:val="001E6970"/>
    <w:rsid w:val="001F2012"/>
    <w:rsid w:val="00201EAC"/>
    <w:rsid w:val="00206860"/>
    <w:rsid w:val="00211994"/>
    <w:rsid w:val="00215BDB"/>
    <w:rsid w:val="002200BF"/>
    <w:rsid w:val="0022036C"/>
    <w:rsid w:val="00220840"/>
    <w:rsid w:val="002303C2"/>
    <w:rsid w:val="0023668F"/>
    <w:rsid w:val="00236782"/>
    <w:rsid w:val="0024087E"/>
    <w:rsid w:val="00242277"/>
    <w:rsid w:val="00245626"/>
    <w:rsid w:val="00245BB1"/>
    <w:rsid w:val="0025000A"/>
    <w:rsid w:val="002532AF"/>
    <w:rsid w:val="00255535"/>
    <w:rsid w:val="00255560"/>
    <w:rsid w:val="002561C6"/>
    <w:rsid w:val="002625F8"/>
    <w:rsid w:val="002728DE"/>
    <w:rsid w:val="00275538"/>
    <w:rsid w:val="0028413B"/>
    <w:rsid w:val="00286C80"/>
    <w:rsid w:val="002873B4"/>
    <w:rsid w:val="00292150"/>
    <w:rsid w:val="00295D55"/>
    <w:rsid w:val="002A15F7"/>
    <w:rsid w:val="002A2880"/>
    <w:rsid w:val="002A2C87"/>
    <w:rsid w:val="002A65C0"/>
    <w:rsid w:val="002A7D72"/>
    <w:rsid w:val="002B0B6D"/>
    <w:rsid w:val="002B23DF"/>
    <w:rsid w:val="002B588B"/>
    <w:rsid w:val="002C365E"/>
    <w:rsid w:val="002C6AF1"/>
    <w:rsid w:val="002D296A"/>
    <w:rsid w:val="002D7A61"/>
    <w:rsid w:val="002E1511"/>
    <w:rsid w:val="002E4121"/>
    <w:rsid w:val="002E4AA4"/>
    <w:rsid w:val="002F031F"/>
    <w:rsid w:val="002F3893"/>
    <w:rsid w:val="002F4959"/>
    <w:rsid w:val="002F7A17"/>
    <w:rsid w:val="003138AD"/>
    <w:rsid w:val="003225A7"/>
    <w:rsid w:val="00323F2D"/>
    <w:rsid w:val="00335911"/>
    <w:rsid w:val="003402E3"/>
    <w:rsid w:val="0034032E"/>
    <w:rsid w:val="00342AB8"/>
    <w:rsid w:val="0034368A"/>
    <w:rsid w:val="00344AA0"/>
    <w:rsid w:val="00347FE7"/>
    <w:rsid w:val="0035452A"/>
    <w:rsid w:val="00354B05"/>
    <w:rsid w:val="0035616C"/>
    <w:rsid w:val="003565E5"/>
    <w:rsid w:val="00361857"/>
    <w:rsid w:val="00370A78"/>
    <w:rsid w:val="00371E5B"/>
    <w:rsid w:val="003815A1"/>
    <w:rsid w:val="00381CB8"/>
    <w:rsid w:val="00385B99"/>
    <w:rsid w:val="0039066A"/>
    <w:rsid w:val="00392592"/>
    <w:rsid w:val="00395008"/>
    <w:rsid w:val="003A0E99"/>
    <w:rsid w:val="003A18BA"/>
    <w:rsid w:val="003A2AF9"/>
    <w:rsid w:val="003A3899"/>
    <w:rsid w:val="003A779E"/>
    <w:rsid w:val="003B08FA"/>
    <w:rsid w:val="003B552A"/>
    <w:rsid w:val="003B55D1"/>
    <w:rsid w:val="003C6AB7"/>
    <w:rsid w:val="003C7B90"/>
    <w:rsid w:val="003D0693"/>
    <w:rsid w:val="003D07D1"/>
    <w:rsid w:val="003D575E"/>
    <w:rsid w:val="003E04CB"/>
    <w:rsid w:val="003E0B22"/>
    <w:rsid w:val="003E15CC"/>
    <w:rsid w:val="003E2F8F"/>
    <w:rsid w:val="003F34B3"/>
    <w:rsid w:val="003F37D3"/>
    <w:rsid w:val="0040117C"/>
    <w:rsid w:val="00410613"/>
    <w:rsid w:val="00422B47"/>
    <w:rsid w:val="004274B3"/>
    <w:rsid w:val="00432600"/>
    <w:rsid w:val="004334B6"/>
    <w:rsid w:val="004339C6"/>
    <w:rsid w:val="0044070D"/>
    <w:rsid w:val="00442902"/>
    <w:rsid w:val="00444C8C"/>
    <w:rsid w:val="00446B73"/>
    <w:rsid w:val="00447194"/>
    <w:rsid w:val="00450154"/>
    <w:rsid w:val="00452BBF"/>
    <w:rsid w:val="00452E50"/>
    <w:rsid w:val="004548F7"/>
    <w:rsid w:val="004570BF"/>
    <w:rsid w:val="004602D7"/>
    <w:rsid w:val="00460633"/>
    <w:rsid w:val="0046237D"/>
    <w:rsid w:val="004632DA"/>
    <w:rsid w:val="00465C0E"/>
    <w:rsid w:val="00466AB4"/>
    <w:rsid w:val="00475897"/>
    <w:rsid w:val="004875CD"/>
    <w:rsid w:val="004A2A85"/>
    <w:rsid w:val="004B6F32"/>
    <w:rsid w:val="004C649C"/>
    <w:rsid w:val="004D0600"/>
    <w:rsid w:val="004D6FED"/>
    <w:rsid w:val="004E1662"/>
    <w:rsid w:val="004E5AC1"/>
    <w:rsid w:val="004E6638"/>
    <w:rsid w:val="004E7126"/>
    <w:rsid w:val="004F0101"/>
    <w:rsid w:val="004F2CCE"/>
    <w:rsid w:val="004F4CBA"/>
    <w:rsid w:val="004F75FC"/>
    <w:rsid w:val="00512448"/>
    <w:rsid w:val="00515F22"/>
    <w:rsid w:val="00520C25"/>
    <w:rsid w:val="00522B5D"/>
    <w:rsid w:val="00525F23"/>
    <w:rsid w:val="00530154"/>
    <w:rsid w:val="00533FBA"/>
    <w:rsid w:val="0053472C"/>
    <w:rsid w:val="00535164"/>
    <w:rsid w:val="00537662"/>
    <w:rsid w:val="00537BF8"/>
    <w:rsid w:val="00537C15"/>
    <w:rsid w:val="00550946"/>
    <w:rsid w:val="005513A4"/>
    <w:rsid w:val="005545BE"/>
    <w:rsid w:val="00556A7C"/>
    <w:rsid w:val="00561CEA"/>
    <w:rsid w:val="0057094B"/>
    <w:rsid w:val="005722A5"/>
    <w:rsid w:val="005753BE"/>
    <w:rsid w:val="0058173E"/>
    <w:rsid w:val="00582280"/>
    <w:rsid w:val="00584E27"/>
    <w:rsid w:val="00585306"/>
    <w:rsid w:val="0059186D"/>
    <w:rsid w:val="00592230"/>
    <w:rsid w:val="00593D0E"/>
    <w:rsid w:val="00597627"/>
    <w:rsid w:val="005A4D32"/>
    <w:rsid w:val="005B0825"/>
    <w:rsid w:val="005B29DA"/>
    <w:rsid w:val="005B3A38"/>
    <w:rsid w:val="005C0642"/>
    <w:rsid w:val="005C0CF0"/>
    <w:rsid w:val="005C71E5"/>
    <w:rsid w:val="005D2C51"/>
    <w:rsid w:val="005D5518"/>
    <w:rsid w:val="005D60B1"/>
    <w:rsid w:val="005E10D5"/>
    <w:rsid w:val="005E5FB3"/>
    <w:rsid w:val="005F39F9"/>
    <w:rsid w:val="005F5FE0"/>
    <w:rsid w:val="00602368"/>
    <w:rsid w:val="00602F1F"/>
    <w:rsid w:val="00610E98"/>
    <w:rsid w:val="0062357A"/>
    <w:rsid w:val="00627B07"/>
    <w:rsid w:val="00627E1F"/>
    <w:rsid w:val="006321F9"/>
    <w:rsid w:val="006343E0"/>
    <w:rsid w:val="00635442"/>
    <w:rsid w:val="00642680"/>
    <w:rsid w:val="006475EE"/>
    <w:rsid w:val="006500AD"/>
    <w:rsid w:val="006509B0"/>
    <w:rsid w:val="00653928"/>
    <w:rsid w:val="00654110"/>
    <w:rsid w:val="006603B6"/>
    <w:rsid w:val="00662649"/>
    <w:rsid w:val="00666512"/>
    <w:rsid w:val="00671ED9"/>
    <w:rsid w:val="006721E8"/>
    <w:rsid w:val="0067317D"/>
    <w:rsid w:val="00676FBD"/>
    <w:rsid w:val="00681D09"/>
    <w:rsid w:val="006926C1"/>
    <w:rsid w:val="00697798"/>
    <w:rsid w:val="006A0AB0"/>
    <w:rsid w:val="006A26E1"/>
    <w:rsid w:val="006A55CA"/>
    <w:rsid w:val="006A6708"/>
    <w:rsid w:val="006B155D"/>
    <w:rsid w:val="006B1D39"/>
    <w:rsid w:val="006B250F"/>
    <w:rsid w:val="006B4A36"/>
    <w:rsid w:val="006B5910"/>
    <w:rsid w:val="006B6970"/>
    <w:rsid w:val="006C16E3"/>
    <w:rsid w:val="006D33C1"/>
    <w:rsid w:val="006D6DBE"/>
    <w:rsid w:val="006E29E9"/>
    <w:rsid w:val="006E3DCE"/>
    <w:rsid w:val="006E56D8"/>
    <w:rsid w:val="006F0D61"/>
    <w:rsid w:val="006F20CF"/>
    <w:rsid w:val="006F582A"/>
    <w:rsid w:val="007003A5"/>
    <w:rsid w:val="00702219"/>
    <w:rsid w:val="0070427F"/>
    <w:rsid w:val="00711823"/>
    <w:rsid w:val="00714DC5"/>
    <w:rsid w:val="0071767F"/>
    <w:rsid w:val="0072155E"/>
    <w:rsid w:val="007224D2"/>
    <w:rsid w:val="0073372D"/>
    <w:rsid w:val="00733D83"/>
    <w:rsid w:val="00741898"/>
    <w:rsid w:val="007446E4"/>
    <w:rsid w:val="00751418"/>
    <w:rsid w:val="007523EE"/>
    <w:rsid w:val="00754F62"/>
    <w:rsid w:val="00757224"/>
    <w:rsid w:val="00760650"/>
    <w:rsid w:val="00762F44"/>
    <w:rsid w:val="00771C88"/>
    <w:rsid w:val="00784E9E"/>
    <w:rsid w:val="00787CBB"/>
    <w:rsid w:val="0079219A"/>
    <w:rsid w:val="00796F80"/>
    <w:rsid w:val="00796FBA"/>
    <w:rsid w:val="00797287"/>
    <w:rsid w:val="007A305E"/>
    <w:rsid w:val="007A7E53"/>
    <w:rsid w:val="007B0E04"/>
    <w:rsid w:val="007B3530"/>
    <w:rsid w:val="007B489A"/>
    <w:rsid w:val="007B79FC"/>
    <w:rsid w:val="007C37F7"/>
    <w:rsid w:val="007C5111"/>
    <w:rsid w:val="007D26FB"/>
    <w:rsid w:val="007D3926"/>
    <w:rsid w:val="007D73CA"/>
    <w:rsid w:val="007E6E7C"/>
    <w:rsid w:val="007F0961"/>
    <w:rsid w:val="007F46A4"/>
    <w:rsid w:val="007F4A39"/>
    <w:rsid w:val="007F790D"/>
    <w:rsid w:val="00800EFC"/>
    <w:rsid w:val="00802491"/>
    <w:rsid w:val="008052C4"/>
    <w:rsid w:val="0081756C"/>
    <w:rsid w:val="00821BB7"/>
    <w:rsid w:val="00825BCE"/>
    <w:rsid w:val="00830915"/>
    <w:rsid w:val="00842608"/>
    <w:rsid w:val="00844611"/>
    <w:rsid w:val="00847A63"/>
    <w:rsid w:val="008524E6"/>
    <w:rsid w:val="00860768"/>
    <w:rsid w:val="008611B6"/>
    <w:rsid w:val="008637E6"/>
    <w:rsid w:val="00865F14"/>
    <w:rsid w:val="00872384"/>
    <w:rsid w:val="00880BD2"/>
    <w:rsid w:val="00884C73"/>
    <w:rsid w:val="008857ED"/>
    <w:rsid w:val="0088667A"/>
    <w:rsid w:val="00886FE8"/>
    <w:rsid w:val="008972E5"/>
    <w:rsid w:val="008A0ED2"/>
    <w:rsid w:val="008A5D94"/>
    <w:rsid w:val="008A73FB"/>
    <w:rsid w:val="008B06BE"/>
    <w:rsid w:val="008B252B"/>
    <w:rsid w:val="008B3CC3"/>
    <w:rsid w:val="008B3E18"/>
    <w:rsid w:val="008B4083"/>
    <w:rsid w:val="008B55F0"/>
    <w:rsid w:val="008C2E74"/>
    <w:rsid w:val="008C594A"/>
    <w:rsid w:val="008C5FED"/>
    <w:rsid w:val="008D3300"/>
    <w:rsid w:val="008E1B2F"/>
    <w:rsid w:val="008E29DA"/>
    <w:rsid w:val="008E3798"/>
    <w:rsid w:val="008F2595"/>
    <w:rsid w:val="008F7823"/>
    <w:rsid w:val="00904874"/>
    <w:rsid w:val="00906566"/>
    <w:rsid w:val="00907352"/>
    <w:rsid w:val="00912D01"/>
    <w:rsid w:val="009132ED"/>
    <w:rsid w:val="0091550C"/>
    <w:rsid w:val="00915531"/>
    <w:rsid w:val="009174F3"/>
    <w:rsid w:val="009217F1"/>
    <w:rsid w:val="00922034"/>
    <w:rsid w:val="0092310D"/>
    <w:rsid w:val="00927741"/>
    <w:rsid w:val="00934AC5"/>
    <w:rsid w:val="00943DCD"/>
    <w:rsid w:val="00945073"/>
    <w:rsid w:val="00947AB7"/>
    <w:rsid w:val="00952802"/>
    <w:rsid w:val="0096044B"/>
    <w:rsid w:val="00961603"/>
    <w:rsid w:val="00966210"/>
    <w:rsid w:val="009705EE"/>
    <w:rsid w:val="00970645"/>
    <w:rsid w:val="0097081A"/>
    <w:rsid w:val="0097183B"/>
    <w:rsid w:val="009770AC"/>
    <w:rsid w:val="00977BAD"/>
    <w:rsid w:val="009839C7"/>
    <w:rsid w:val="00986F96"/>
    <w:rsid w:val="009A0F8F"/>
    <w:rsid w:val="009A5AA3"/>
    <w:rsid w:val="009B0085"/>
    <w:rsid w:val="009B1A7A"/>
    <w:rsid w:val="009B3ABD"/>
    <w:rsid w:val="009B42B6"/>
    <w:rsid w:val="009C1A05"/>
    <w:rsid w:val="009C1C46"/>
    <w:rsid w:val="009C5757"/>
    <w:rsid w:val="009D1D88"/>
    <w:rsid w:val="009F424A"/>
    <w:rsid w:val="00A05EFE"/>
    <w:rsid w:val="00A17E1C"/>
    <w:rsid w:val="00A2137E"/>
    <w:rsid w:val="00A21FA6"/>
    <w:rsid w:val="00A2225A"/>
    <w:rsid w:val="00A252B1"/>
    <w:rsid w:val="00A2763F"/>
    <w:rsid w:val="00A316A6"/>
    <w:rsid w:val="00A3195D"/>
    <w:rsid w:val="00A40509"/>
    <w:rsid w:val="00A40895"/>
    <w:rsid w:val="00A4723B"/>
    <w:rsid w:val="00A5071A"/>
    <w:rsid w:val="00A50AC5"/>
    <w:rsid w:val="00A50CA5"/>
    <w:rsid w:val="00A533BD"/>
    <w:rsid w:val="00A556C5"/>
    <w:rsid w:val="00A605C4"/>
    <w:rsid w:val="00A6131B"/>
    <w:rsid w:val="00A62947"/>
    <w:rsid w:val="00A650EE"/>
    <w:rsid w:val="00A86306"/>
    <w:rsid w:val="00A86424"/>
    <w:rsid w:val="00AA31EE"/>
    <w:rsid w:val="00AA45AC"/>
    <w:rsid w:val="00AA7137"/>
    <w:rsid w:val="00AC011F"/>
    <w:rsid w:val="00AC4222"/>
    <w:rsid w:val="00AD1613"/>
    <w:rsid w:val="00AD2F95"/>
    <w:rsid w:val="00AD3913"/>
    <w:rsid w:val="00AD6052"/>
    <w:rsid w:val="00AD6B9B"/>
    <w:rsid w:val="00AE0D87"/>
    <w:rsid w:val="00AE5732"/>
    <w:rsid w:val="00AE58D0"/>
    <w:rsid w:val="00AF04B0"/>
    <w:rsid w:val="00AF3111"/>
    <w:rsid w:val="00AF4084"/>
    <w:rsid w:val="00AF7128"/>
    <w:rsid w:val="00B07A7E"/>
    <w:rsid w:val="00B10755"/>
    <w:rsid w:val="00B114AD"/>
    <w:rsid w:val="00B143B2"/>
    <w:rsid w:val="00B202E9"/>
    <w:rsid w:val="00B22C6C"/>
    <w:rsid w:val="00B259F3"/>
    <w:rsid w:val="00B25CA1"/>
    <w:rsid w:val="00B264C2"/>
    <w:rsid w:val="00B30047"/>
    <w:rsid w:val="00B31C05"/>
    <w:rsid w:val="00B341A0"/>
    <w:rsid w:val="00B444CA"/>
    <w:rsid w:val="00B474FD"/>
    <w:rsid w:val="00B50B9B"/>
    <w:rsid w:val="00B50E1E"/>
    <w:rsid w:val="00B51999"/>
    <w:rsid w:val="00B5317C"/>
    <w:rsid w:val="00B54D96"/>
    <w:rsid w:val="00B72DF6"/>
    <w:rsid w:val="00B7339E"/>
    <w:rsid w:val="00B73AB4"/>
    <w:rsid w:val="00B80E97"/>
    <w:rsid w:val="00B82C0F"/>
    <w:rsid w:val="00B87C57"/>
    <w:rsid w:val="00B905BD"/>
    <w:rsid w:val="00B92514"/>
    <w:rsid w:val="00B93869"/>
    <w:rsid w:val="00B93BF5"/>
    <w:rsid w:val="00B93D9D"/>
    <w:rsid w:val="00B97D31"/>
    <w:rsid w:val="00BA0BAD"/>
    <w:rsid w:val="00BA0D39"/>
    <w:rsid w:val="00BA3CE1"/>
    <w:rsid w:val="00BA5614"/>
    <w:rsid w:val="00BB1DD7"/>
    <w:rsid w:val="00BB4284"/>
    <w:rsid w:val="00BB43BC"/>
    <w:rsid w:val="00BB5A8C"/>
    <w:rsid w:val="00BC1D69"/>
    <w:rsid w:val="00BC4797"/>
    <w:rsid w:val="00BD04A3"/>
    <w:rsid w:val="00BD1E9F"/>
    <w:rsid w:val="00BD3F36"/>
    <w:rsid w:val="00BD6EC8"/>
    <w:rsid w:val="00BE5206"/>
    <w:rsid w:val="00BE68F2"/>
    <w:rsid w:val="00BE73DE"/>
    <w:rsid w:val="00BE7767"/>
    <w:rsid w:val="00BF0DDE"/>
    <w:rsid w:val="00BF3341"/>
    <w:rsid w:val="00C035F9"/>
    <w:rsid w:val="00C0490E"/>
    <w:rsid w:val="00C05F7E"/>
    <w:rsid w:val="00C07291"/>
    <w:rsid w:val="00C12CD2"/>
    <w:rsid w:val="00C12E7C"/>
    <w:rsid w:val="00C15208"/>
    <w:rsid w:val="00C165E8"/>
    <w:rsid w:val="00C16873"/>
    <w:rsid w:val="00C219B3"/>
    <w:rsid w:val="00C22FF1"/>
    <w:rsid w:val="00C24E74"/>
    <w:rsid w:val="00C30A31"/>
    <w:rsid w:val="00C376B3"/>
    <w:rsid w:val="00C46221"/>
    <w:rsid w:val="00C4780B"/>
    <w:rsid w:val="00C57079"/>
    <w:rsid w:val="00C6051D"/>
    <w:rsid w:val="00C65E70"/>
    <w:rsid w:val="00C706B5"/>
    <w:rsid w:val="00C70A2D"/>
    <w:rsid w:val="00C76B8B"/>
    <w:rsid w:val="00C77AD8"/>
    <w:rsid w:val="00C823F0"/>
    <w:rsid w:val="00C83E28"/>
    <w:rsid w:val="00C900C5"/>
    <w:rsid w:val="00C91B91"/>
    <w:rsid w:val="00C94D58"/>
    <w:rsid w:val="00C95300"/>
    <w:rsid w:val="00C9682B"/>
    <w:rsid w:val="00C97C27"/>
    <w:rsid w:val="00CA08EB"/>
    <w:rsid w:val="00CA33A3"/>
    <w:rsid w:val="00CA4C49"/>
    <w:rsid w:val="00CA5B7F"/>
    <w:rsid w:val="00CB0936"/>
    <w:rsid w:val="00CB0A17"/>
    <w:rsid w:val="00CB110D"/>
    <w:rsid w:val="00CB3EA8"/>
    <w:rsid w:val="00CC21E8"/>
    <w:rsid w:val="00CC4F7D"/>
    <w:rsid w:val="00CD1FA9"/>
    <w:rsid w:val="00CD6D4B"/>
    <w:rsid w:val="00CE4DDB"/>
    <w:rsid w:val="00CE7EF1"/>
    <w:rsid w:val="00CF281B"/>
    <w:rsid w:val="00D0190A"/>
    <w:rsid w:val="00D032AE"/>
    <w:rsid w:val="00D03376"/>
    <w:rsid w:val="00D05D0A"/>
    <w:rsid w:val="00D13229"/>
    <w:rsid w:val="00D20C53"/>
    <w:rsid w:val="00D21647"/>
    <w:rsid w:val="00D2785F"/>
    <w:rsid w:val="00D423DE"/>
    <w:rsid w:val="00D44C2B"/>
    <w:rsid w:val="00D44CAF"/>
    <w:rsid w:val="00D44EBF"/>
    <w:rsid w:val="00D518AB"/>
    <w:rsid w:val="00D51F35"/>
    <w:rsid w:val="00D64ADB"/>
    <w:rsid w:val="00D667B8"/>
    <w:rsid w:val="00D7591F"/>
    <w:rsid w:val="00D7624D"/>
    <w:rsid w:val="00D825F7"/>
    <w:rsid w:val="00D861D5"/>
    <w:rsid w:val="00D92754"/>
    <w:rsid w:val="00D92BC6"/>
    <w:rsid w:val="00D95A29"/>
    <w:rsid w:val="00DA13CA"/>
    <w:rsid w:val="00DA1AEB"/>
    <w:rsid w:val="00DA3258"/>
    <w:rsid w:val="00DA55B8"/>
    <w:rsid w:val="00DA629D"/>
    <w:rsid w:val="00DA7E2A"/>
    <w:rsid w:val="00DB2739"/>
    <w:rsid w:val="00DC496F"/>
    <w:rsid w:val="00DD019E"/>
    <w:rsid w:val="00DD07BB"/>
    <w:rsid w:val="00DD0ED8"/>
    <w:rsid w:val="00DD7161"/>
    <w:rsid w:val="00DE07A4"/>
    <w:rsid w:val="00DE0B2D"/>
    <w:rsid w:val="00DE3665"/>
    <w:rsid w:val="00DE4C08"/>
    <w:rsid w:val="00DF13CC"/>
    <w:rsid w:val="00DF31E0"/>
    <w:rsid w:val="00DF6277"/>
    <w:rsid w:val="00DF6527"/>
    <w:rsid w:val="00E02A09"/>
    <w:rsid w:val="00E13413"/>
    <w:rsid w:val="00E1408E"/>
    <w:rsid w:val="00E15029"/>
    <w:rsid w:val="00E20938"/>
    <w:rsid w:val="00E22617"/>
    <w:rsid w:val="00E22B40"/>
    <w:rsid w:val="00E2349D"/>
    <w:rsid w:val="00E23E61"/>
    <w:rsid w:val="00E26B7C"/>
    <w:rsid w:val="00E30230"/>
    <w:rsid w:val="00E3604B"/>
    <w:rsid w:val="00E43924"/>
    <w:rsid w:val="00E44BD4"/>
    <w:rsid w:val="00E5075B"/>
    <w:rsid w:val="00E55AF7"/>
    <w:rsid w:val="00E55CAA"/>
    <w:rsid w:val="00E55EC2"/>
    <w:rsid w:val="00E56BBC"/>
    <w:rsid w:val="00E62874"/>
    <w:rsid w:val="00E7017E"/>
    <w:rsid w:val="00E73BEF"/>
    <w:rsid w:val="00E82C5D"/>
    <w:rsid w:val="00E87D4E"/>
    <w:rsid w:val="00E95974"/>
    <w:rsid w:val="00E96C9D"/>
    <w:rsid w:val="00EA048C"/>
    <w:rsid w:val="00EA08D5"/>
    <w:rsid w:val="00EA68C1"/>
    <w:rsid w:val="00EB0A3E"/>
    <w:rsid w:val="00EB63F5"/>
    <w:rsid w:val="00EC1CCF"/>
    <w:rsid w:val="00EC3144"/>
    <w:rsid w:val="00EC42AD"/>
    <w:rsid w:val="00ED3BA6"/>
    <w:rsid w:val="00ED55FF"/>
    <w:rsid w:val="00EE1DB4"/>
    <w:rsid w:val="00EE7B7D"/>
    <w:rsid w:val="00EF1178"/>
    <w:rsid w:val="00EF123D"/>
    <w:rsid w:val="00EF1C50"/>
    <w:rsid w:val="00EF1E0A"/>
    <w:rsid w:val="00EF44EC"/>
    <w:rsid w:val="00EF53F1"/>
    <w:rsid w:val="00EF7327"/>
    <w:rsid w:val="00F017BE"/>
    <w:rsid w:val="00F1075F"/>
    <w:rsid w:val="00F123C9"/>
    <w:rsid w:val="00F1253F"/>
    <w:rsid w:val="00F133FE"/>
    <w:rsid w:val="00F14F21"/>
    <w:rsid w:val="00F15E4E"/>
    <w:rsid w:val="00F17389"/>
    <w:rsid w:val="00F2080D"/>
    <w:rsid w:val="00F2695F"/>
    <w:rsid w:val="00F33B40"/>
    <w:rsid w:val="00F34C77"/>
    <w:rsid w:val="00F34DEA"/>
    <w:rsid w:val="00F36ABA"/>
    <w:rsid w:val="00F36D43"/>
    <w:rsid w:val="00F42F12"/>
    <w:rsid w:val="00F46773"/>
    <w:rsid w:val="00F508EA"/>
    <w:rsid w:val="00F65C59"/>
    <w:rsid w:val="00F83A4D"/>
    <w:rsid w:val="00F91B33"/>
    <w:rsid w:val="00F962CE"/>
    <w:rsid w:val="00FA0B7E"/>
    <w:rsid w:val="00FA147D"/>
    <w:rsid w:val="00FA4221"/>
    <w:rsid w:val="00FA78EB"/>
    <w:rsid w:val="00FB6A99"/>
    <w:rsid w:val="00FB7901"/>
    <w:rsid w:val="00FC0796"/>
    <w:rsid w:val="00FD1430"/>
    <w:rsid w:val="00FD1570"/>
    <w:rsid w:val="00FE18BC"/>
    <w:rsid w:val="00FF03AE"/>
    <w:rsid w:val="00FF4DBF"/>
    <w:rsid w:val="01BD17FD"/>
    <w:rsid w:val="02331ABF"/>
    <w:rsid w:val="035D3297"/>
    <w:rsid w:val="03C926DB"/>
    <w:rsid w:val="04073203"/>
    <w:rsid w:val="054A2E09"/>
    <w:rsid w:val="05627177"/>
    <w:rsid w:val="058B12D3"/>
    <w:rsid w:val="05A131E3"/>
    <w:rsid w:val="08093515"/>
    <w:rsid w:val="08C276F9"/>
    <w:rsid w:val="08E61D25"/>
    <w:rsid w:val="09F935EE"/>
    <w:rsid w:val="09FE3650"/>
    <w:rsid w:val="0A0106F5"/>
    <w:rsid w:val="0C565CAD"/>
    <w:rsid w:val="0E680D42"/>
    <w:rsid w:val="0E843AEA"/>
    <w:rsid w:val="0EAD18E0"/>
    <w:rsid w:val="0EC87A33"/>
    <w:rsid w:val="0F0169F0"/>
    <w:rsid w:val="0F74418B"/>
    <w:rsid w:val="0F8703E2"/>
    <w:rsid w:val="0F895414"/>
    <w:rsid w:val="0FFC5BE6"/>
    <w:rsid w:val="11863ECD"/>
    <w:rsid w:val="12D76496"/>
    <w:rsid w:val="134654DF"/>
    <w:rsid w:val="13DA0AFE"/>
    <w:rsid w:val="15963DAB"/>
    <w:rsid w:val="17B5547B"/>
    <w:rsid w:val="18724860"/>
    <w:rsid w:val="18E70661"/>
    <w:rsid w:val="1A38011F"/>
    <w:rsid w:val="1B7E7DF7"/>
    <w:rsid w:val="1D0EAC8E"/>
    <w:rsid w:val="1F275BD4"/>
    <w:rsid w:val="1F3D3619"/>
    <w:rsid w:val="1FB5174C"/>
    <w:rsid w:val="20890A44"/>
    <w:rsid w:val="21F4496F"/>
    <w:rsid w:val="24192135"/>
    <w:rsid w:val="246F29D3"/>
    <w:rsid w:val="25550A3E"/>
    <w:rsid w:val="27391076"/>
    <w:rsid w:val="273B4DEE"/>
    <w:rsid w:val="2983704C"/>
    <w:rsid w:val="2AB621B9"/>
    <w:rsid w:val="2B4E7395"/>
    <w:rsid w:val="2C077995"/>
    <w:rsid w:val="2D2325AC"/>
    <w:rsid w:val="2D4542D1"/>
    <w:rsid w:val="2DA76D39"/>
    <w:rsid w:val="2DBB66F5"/>
    <w:rsid w:val="2DD85957"/>
    <w:rsid w:val="2E2BA8C2"/>
    <w:rsid w:val="2EDA4836"/>
    <w:rsid w:val="2FD229D3"/>
    <w:rsid w:val="2FD91648"/>
    <w:rsid w:val="2FFE04CB"/>
    <w:rsid w:val="320A27A5"/>
    <w:rsid w:val="32821B23"/>
    <w:rsid w:val="333357E6"/>
    <w:rsid w:val="33DE547F"/>
    <w:rsid w:val="33F8CA3F"/>
    <w:rsid w:val="345D7D0C"/>
    <w:rsid w:val="348B5C9C"/>
    <w:rsid w:val="3492481E"/>
    <w:rsid w:val="34FC75BC"/>
    <w:rsid w:val="35256FDE"/>
    <w:rsid w:val="362FCB6D"/>
    <w:rsid w:val="37B2F4B0"/>
    <w:rsid w:val="381B0A50"/>
    <w:rsid w:val="386F79BF"/>
    <w:rsid w:val="38886826"/>
    <w:rsid w:val="3A2A31CC"/>
    <w:rsid w:val="3B3F4A1B"/>
    <w:rsid w:val="3D7D1AFF"/>
    <w:rsid w:val="3DB66DD6"/>
    <w:rsid w:val="3DDA21A5"/>
    <w:rsid w:val="3DEC66CB"/>
    <w:rsid w:val="3EE949AA"/>
    <w:rsid w:val="3EEC9662"/>
    <w:rsid w:val="411C5A44"/>
    <w:rsid w:val="42195CDA"/>
    <w:rsid w:val="42417305"/>
    <w:rsid w:val="42AB0C22"/>
    <w:rsid w:val="43136770"/>
    <w:rsid w:val="43380328"/>
    <w:rsid w:val="43DB1F7F"/>
    <w:rsid w:val="43E75C8A"/>
    <w:rsid w:val="451A3E3D"/>
    <w:rsid w:val="457E6565"/>
    <w:rsid w:val="47727F60"/>
    <w:rsid w:val="488C6E00"/>
    <w:rsid w:val="48BA197D"/>
    <w:rsid w:val="490C7A2D"/>
    <w:rsid w:val="495A5150"/>
    <w:rsid w:val="4B592B24"/>
    <w:rsid w:val="4BC957E8"/>
    <w:rsid w:val="4CA94424"/>
    <w:rsid w:val="4D821820"/>
    <w:rsid w:val="4EB26E95"/>
    <w:rsid w:val="4EC14837"/>
    <w:rsid w:val="4F2C002E"/>
    <w:rsid w:val="4F69118B"/>
    <w:rsid w:val="4FBD4D07"/>
    <w:rsid w:val="4FD23C92"/>
    <w:rsid w:val="50566671"/>
    <w:rsid w:val="50852AB2"/>
    <w:rsid w:val="50B31917"/>
    <w:rsid w:val="54A17BFE"/>
    <w:rsid w:val="57FB5F04"/>
    <w:rsid w:val="5834185B"/>
    <w:rsid w:val="58D26B89"/>
    <w:rsid w:val="5A8E4C59"/>
    <w:rsid w:val="5ADC7773"/>
    <w:rsid w:val="5AE51AA8"/>
    <w:rsid w:val="5B863B83"/>
    <w:rsid w:val="5B9F16BB"/>
    <w:rsid w:val="5DFF32A3"/>
    <w:rsid w:val="5EE0599B"/>
    <w:rsid w:val="5EFE05DC"/>
    <w:rsid w:val="5FB85F5C"/>
    <w:rsid w:val="5FFFCFA7"/>
    <w:rsid w:val="61BC7996"/>
    <w:rsid w:val="62D578C9"/>
    <w:rsid w:val="631303F2"/>
    <w:rsid w:val="63C37D22"/>
    <w:rsid w:val="652D533D"/>
    <w:rsid w:val="688A2B96"/>
    <w:rsid w:val="68C07C0D"/>
    <w:rsid w:val="69603C65"/>
    <w:rsid w:val="6962622E"/>
    <w:rsid w:val="699102C2"/>
    <w:rsid w:val="69E14DA6"/>
    <w:rsid w:val="6AA33E09"/>
    <w:rsid w:val="6AAB3841"/>
    <w:rsid w:val="6AE94706"/>
    <w:rsid w:val="6AFC40B2"/>
    <w:rsid w:val="6B0A4010"/>
    <w:rsid w:val="6B6E3EBB"/>
    <w:rsid w:val="6D5F3E88"/>
    <w:rsid w:val="6DDF806F"/>
    <w:rsid w:val="6DF74C76"/>
    <w:rsid w:val="6E0F939B"/>
    <w:rsid w:val="6EEA46FD"/>
    <w:rsid w:val="6F305E87"/>
    <w:rsid w:val="6F6B35F4"/>
    <w:rsid w:val="6F9942BF"/>
    <w:rsid w:val="70133115"/>
    <w:rsid w:val="706849A4"/>
    <w:rsid w:val="70A24B63"/>
    <w:rsid w:val="70F73101"/>
    <w:rsid w:val="72C32F6D"/>
    <w:rsid w:val="731ACA77"/>
    <w:rsid w:val="7375336F"/>
    <w:rsid w:val="73A47D46"/>
    <w:rsid w:val="74DC04C0"/>
    <w:rsid w:val="74F10946"/>
    <w:rsid w:val="75DF1B48"/>
    <w:rsid w:val="7641372B"/>
    <w:rsid w:val="76862B22"/>
    <w:rsid w:val="76FF4ABD"/>
    <w:rsid w:val="77820838"/>
    <w:rsid w:val="77BDDAEE"/>
    <w:rsid w:val="79211488"/>
    <w:rsid w:val="79AB2CDA"/>
    <w:rsid w:val="7AC003F9"/>
    <w:rsid w:val="7AD61FD9"/>
    <w:rsid w:val="7B29035B"/>
    <w:rsid w:val="7C7575D0"/>
    <w:rsid w:val="7D1F3588"/>
    <w:rsid w:val="7D2F59D0"/>
    <w:rsid w:val="7DA550BF"/>
    <w:rsid w:val="7F11406B"/>
    <w:rsid w:val="7F9BC404"/>
    <w:rsid w:val="7FA15D8B"/>
    <w:rsid w:val="7FBF5758"/>
    <w:rsid w:val="7FDA71DB"/>
    <w:rsid w:val="7FEC3903"/>
    <w:rsid w:val="7FF7421F"/>
    <w:rsid w:val="89FBBCAC"/>
    <w:rsid w:val="AABD0C3D"/>
    <w:rsid w:val="B348F22D"/>
    <w:rsid w:val="D778E2FB"/>
    <w:rsid w:val="DBFBF8AE"/>
    <w:rsid w:val="DFBF5C90"/>
    <w:rsid w:val="E2DF2483"/>
    <w:rsid w:val="E7FB5C14"/>
    <w:rsid w:val="E9B99CAB"/>
    <w:rsid w:val="F5336DB2"/>
    <w:rsid w:val="F7B31E01"/>
    <w:rsid w:val="FBAF1F7C"/>
    <w:rsid w:val="FDF85287"/>
    <w:rsid w:val="FED9ADC9"/>
    <w:rsid w:val="FEE74FF1"/>
    <w:rsid w:val="FEED8859"/>
    <w:rsid w:val="FFBFF394"/>
    <w:rsid w:val="FFFD1FE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qFormat="1"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6"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2"/>
      <w:sz w:val="21"/>
      <w:szCs w:val="24"/>
      <w:lang w:val="en-US" w:eastAsia="zh-CN" w:bidi="ar-SA"/>
    </w:rPr>
  </w:style>
  <w:style w:type="paragraph" w:styleId="2">
    <w:name w:val="heading 1"/>
    <w:basedOn w:val="1"/>
    <w:next w:val="1"/>
    <w:link w:val="50"/>
    <w:qFormat/>
    <w:uiPriority w:val="0"/>
    <w:pPr>
      <w:keepNext/>
      <w:keepLines/>
      <w:adjustRightInd w:val="0"/>
      <w:snapToGrid w:val="0"/>
      <w:spacing w:line="360" w:lineRule="auto"/>
      <w:jc w:val="center"/>
      <w:outlineLvl w:val="0"/>
    </w:pPr>
    <w:rPr>
      <w:rFonts w:eastAsia="楷体"/>
      <w:b/>
      <w:bCs/>
      <w:kern w:val="44"/>
      <w:sz w:val="36"/>
      <w:szCs w:val="44"/>
    </w:rPr>
  </w:style>
  <w:style w:type="paragraph" w:styleId="3">
    <w:name w:val="heading 2"/>
    <w:basedOn w:val="1"/>
    <w:next w:val="1"/>
    <w:link w:val="51"/>
    <w:qFormat/>
    <w:uiPriority w:val="0"/>
    <w:pPr>
      <w:keepNext/>
      <w:keepLines/>
      <w:adjustRightInd w:val="0"/>
      <w:snapToGrid w:val="0"/>
      <w:jc w:val="center"/>
      <w:outlineLvl w:val="1"/>
    </w:pPr>
    <w:rPr>
      <w:rFonts w:ascii="Arial" w:hAnsi="Arial" w:eastAsia="楷体"/>
      <w:b/>
      <w:bCs/>
      <w:sz w:val="24"/>
      <w:szCs w:val="32"/>
    </w:rPr>
  </w:style>
  <w:style w:type="paragraph" w:styleId="4">
    <w:name w:val="heading 3"/>
    <w:basedOn w:val="1"/>
    <w:next w:val="1"/>
    <w:link w:val="52"/>
    <w:qFormat/>
    <w:uiPriority w:val="0"/>
    <w:pPr>
      <w:keepNext/>
      <w:keepLines/>
      <w:spacing w:before="260" w:after="260" w:line="413" w:lineRule="auto"/>
      <w:outlineLvl w:val="2"/>
    </w:pPr>
    <w:rPr>
      <w:b/>
      <w:sz w:val="32"/>
      <w:szCs w:val="20"/>
    </w:rPr>
  </w:style>
  <w:style w:type="paragraph" w:styleId="5">
    <w:name w:val="heading 4"/>
    <w:basedOn w:val="1"/>
    <w:next w:val="1"/>
    <w:link w:val="53"/>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54"/>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55"/>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56"/>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57"/>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58"/>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ind w:firstLine="420" w:firstLineChars="200"/>
    </w:pPr>
  </w:style>
  <w:style w:type="paragraph" w:styleId="12">
    <w:name w:val="caption"/>
    <w:basedOn w:val="1"/>
    <w:next w:val="1"/>
    <w:qFormat/>
    <w:uiPriority w:val="35"/>
    <w:pPr>
      <w:spacing w:before="120" w:after="120"/>
    </w:pPr>
    <w:rPr>
      <w:b/>
    </w:rPr>
  </w:style>
  <w:style w:type="paragraph" w:styleId="13">
    <w:name w:val="Document Map"/>
    <w:basedOn w:val="1"/>
    <w:link w:val="71"/>
    <w:qFormat/>
    <w:uiPriority w:val="99"/>
    <w:pPr>
      <w:shd w:val="clear" w:color="auto" w:fill="000080"/>
    </w:pPr>
  </w:style>
  <w:style w:type="paragraph" w:styleId="14">
    <w:name w:val="annotation text"/>
    <w:basedOn w:val="1"/>
    <w:link w:val="69"/>
    <w:unhideWhenUsed/>
    <w:qFormat/>
    <w:uiPriority w:val="99"/>
  </w:style>
  <w:style w:type="paragraph" w:styleId="15">
    <w:name w:val="Salutation"/>
    <w:basedOn w:val="1"/>
    <w:next w:val="1"/>
    <w:link w:val="169"/>
    <w:qFormat/>
    <w:uiPriority w:val="0"/>
    <w:rPr>
      <w:szCs w:val="20"/>
    </w:rPr>
  </w:style>
  <w:style w:type="paragraph" w:styleId="16">
    <w:name w:val="Body Text 3"/>
    <w:basedOn w:val="1"/>
    <w:link w:val="266"/>
    <w:unhideWhenUsed/>
    <w:qFormat/>
    <w:uiPriority w:val="99"/>
    <w:pPr>
      <w:spacing w:after="120"/>
    </w:pPr>
    <w:rPr>
      <w:sz w:val="16"/>
      <w:szCs w:val="16"/>
    </w:rPr>
  </w:style>
  <w:style w:type="paragraph" w:styleId="17">
    <w:name w:val="List Bullet 3"/>
    <w:basedOn w:val="1"/>
    <w:qFormat/>
    <w:uiPriority w:val="0"/>
    <w:pPr>
      <w:tabs>
        <w:tab w:val="left" w:pos="720"/>
      </w:tabs>
      <w:ind w:left="720" w:hanging="720"/>
      <w:outlineLvl w:val="0"/>
    </w:pPr>
    <w:rPr>
      <w:color w:val="0000FF"/>
      <w:sz w:val="24"/>
      <w:szCs w:val="20"/>
    </w:rPr>
  </w:style>
  <w:style w:type="paragraph" w:styleId="18">
    <w:name w:val="Body Text"/>
    <w:basedOn w:val="1"/>
    <w:next w:val="1"/>
    <w:link w:val="72"/>
    <w:qFormat/>
    <w:uiPriority w:val="6"/>
    <w:pPr>
      <w:spacing w:after="120"/>
    </w:pPr>
  </w:style>
  <w:style w:type="paragraph" w:styleId="19">
    <w:name w:val="Body Text Indent"/>
    <w:basedOn w:val="1"/>
    <w:link w:val="74"/>
    <w:qFormat/>
    <w:uiPriority w:val="0"/>
    <w:pPr>
      <w:autoSpaceDE w:val="0"/>
      <w:autoSpaceDN w:val="0"/>
      <w:adjustRightInd w:val="0"/>
      <w:spacing w:line="460" w:lineRule="exact"/>
      <w:ind w:firstLine="570"/>
    </w:pPr>
    <w:rPr>
      <w:rFonts w:ascii="宋体"/>
      <w:kern w:val="0"/>
      <w:sz w:val="24"/>
      <w:szCs w:val="20"/>
    </w:rPr>
  </w:style>
  <w:style w:type="paragraph" w:styleId="20">
    <w:name w:val="List 2"/>
    <w:basedOn w:val="1"/>
    <w:qFormat/>
    <w:uiPriority w:val="0"/>
    <w:pPr>
      <w:ind w:left="100" w:leftChars="200" w:hanging="200" w:hangingChars="200"/>
    </w:pPr>
  </w:style>
  <w:style w:type="paragraph" w:styleId="21">
    <w:name w:val="toc 3"/>
    <w:basedOn w:val="1"/>
    <w:next w:val="1"/>
    <w:qFormat/>
    <w:uiPriority w:val="39"/>
    <w:pPr>
      <w:ind w:left="840" w:leftChars="400"/>
    </w:pPr>
  </w:style>
  <w:style w:type="paragraph" w:styleId="22">
    <w:name w:val="Plain Text"/>
    <w:basedOn w:val="1"/>
    <w:link w:val="75"/>
    <w:qFormat/>
    <w:uiPriority w:val="0"/>
    <w:rPr>
      <w:rFonts w:ascii="宋体" w:hAnsi="Courier New"/>
      <w:sz w:val="19"/>
      <w:szCs w:val="20"/>
    </w:rPr>
  </w:style>
  <w:style w:type="paragraph" w:styleId="23">
    <w:name w:val="Date"/>
    <w:basedOn w:val="1"/>
    <w:next w:val="1"/>
    <w:link w:val="76"/>
    <w:qFormat/>
    <w:uiPriority w:val="0"/>
    <w:pPr>
      <w:autoSpaceDE w:val="0"/>
      <w:autoSpaceDN w:val="0"/>
      <w:adjustRightInd w:val="0"/>
    </w:pPr>
    <w:rPr>
      <w:rFonts w:ascii="宋体"/>
      <w:kern w:val="0"/>
      <w:sz w:val="28"/>
      <w:szCs w:val="20"/>
    </w:rPr>
  </w:style>
  <w:style w:type="paragraph" w:styleId="24">
    <w:name w:val="Body Text Indent 2"/>
    <w:basedOn w:val="1"/>
    <w:link w:val="77"/>
    <w:qFormat/>
    <w:uiPriority w:val="0"/>
    <w:pPr>
      <w:spacing w:line="600" w:lineRule="atLeast"/>
      <w:ind w:left="241" w:leftChars="241" w:firstLine="647" w:firstLineChars="231"/>
    </w:pPr>
    <w:rPr>
      <w:sz w:val="28"/>
      <w:szCs w:val="20"/>
    </w:rPr>
  </w:style>
  <w:style w:type="paragraph" w:styleId="25">
    <w:name w:val="Balloon Text"/>
    <w:basedOn w:val="1"/>
    <w:link w:val="79"/>
    <w:qFormat/>
    <w:uiPriority w:val="99"/>
    <w:rPr>
      <w:sz w:val="18"/>
      <w:szCs w:val="18"/>
    </w:rPr>
  </w:style>
  <w:style w:type="paragraph" w:styleId="26">
    <w:name w:val="footer"/>
    <w:basedOn w:val="1"/>
    <w:link w:val="60"/>
    <w:unhideWhenUsed/>
    <w:qFormat/>
    <w:uiPriority w:val="0"/>
    <w:pPr>
      <w:tabs>
        <w:tab w:val="center" w:pos="4153"/>
        <w:tab w:val="right" w:pos="8306"/>
      </w:tabs>
      <w:snapToGrid w:val="0"/>
    </w:pPr>
    <w:rPr>
      <w:sz w:val="18"/>
      <w:szCs w:val="18"/>
    </w:rPr>
  </w:style>
  <w:style w:type="paragraph" w:styleId="27">
    <w:name w:val="header"/>
    <w:basedOn w:val="1"/>
    <w:link w:val="59"/>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right" w:leader="dot" w:pos="8302"/>
      </w:tabs>
    </w:pPr>
  </w:style>
  <w:style w:type="paragraph" w:styleId="29">
    <w:name w:val="footnote text"/>
    <w:basedOn w:val="1"/>
    <w:link w:val="82"/>
    <w:qFormat/>
    <w:uiPriority w:val="0"/>
    <w:pPr>
      <w:snapToGrid w:val="0"/>
    </w:pPr>
    <w:rPr>
      <w:sz w:val="18"/>
      <w:szCs w:val="18"/>
    </w:rPr>
  </w:style>
  <w:style w:type="paragraph" w:styleId="30">
    <w:name w:val="Body Text Indent 3"/>
    <w:basedOn w:val="1"/>
    <w:link w:val="83"/>
    <w:qFormat/>
    <w:uiPriority w:val="0"/>
    <w:pPr>
      <w:spacing w:line="360" w:lineRule="auto"/>
      <w:ind w:right="67" w:firstLine="420"/>
    </w:pPr>
    <w:rPr>
      <w:color w:val="FF0000"/>
      <w:sz w:val="24"/>
    </w:rPr>
  </w:style>
  <w:style w:type="paragraph" w:styleId="31">
    <w:name w:val="toc 2"/>
    <w:basedOn w:val="1"/>
    <w:next w:val="1"/>
    <w:qFormat/>
    <w:uiPriority w:val="39"/>
    <w:pPr>
      <w:ind w:left="420" w:leftChars="200"/>
    </w:pPr>
  </w:style>
  <w:style w:type="paragraph" w:styleId="32">
    <w:name w:val="Body Text 2"/>
    <w:basedOn w:val="1"/>
    <w:link w:val="191"/>
    <w:semiHidden/>
    <w:qFormat/>
    <w:uiPriority w:val="0"/>
    <w:pPr>
      <w:tabs>
        <w:tab w:val="left" w:pos="6742"/>
        <w:tab w:val="left" w:pos="7234"/>
        <w:tab w:val="left" w:leader="hyphen" w:pos="8431"/>
      </w:tabs>
      <w:spacing w:before="60" w:after="60"/>
    </w:pPr>
    <w:rPr>
      <w:i/>
      <w:kern w:val="0"/>
      <w:sz w:val="24"/>
      <w:szCs w:val="20"/>
      <w:lang w:val="it-IT"/>
    </w:rPr>
  </w:style>
  <w:style w:type="paragraph" w:styleId="33">
    <w:name w:val="HTML Preformatted"/>
    <w:basedOn w:val="1"/>
    <w:link w:val="179"/>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kern w:val="0"/>
      <w:sz w:val="24"/>
    </w:rPr>
  </w:style>
  <w:style w:type="paragraph" w:styleId="34">
    <w:name w:val="Normal (Web)"/>
    <w:basedOn w:val="1"/>
    <w:qFormat/>
    <w:uiPriority w:val="99"/>
    <w:pPr>
      <w:spacing w:before="100" w:beforeAutospacing="1" w:after="100" w:afterAutospacing="1"/>
    </w:pPr>
    <w:rPr>
      <w:rFonts w:ascii="Arial Unicode MS" w:hAnsi="Arial Unicode MS" w:eastAsia="Arial Unicode MS" w:cs="Arial Unicode MS"/>
      <w:color w:val="000000"/>
      <w:kern w:val="0"/>
      <w:sz w:val="24"/>
    </w:rPr>
  </w:style>
  <w:style w:type="paragraph" w:styleId="35">
    <w:name w:val="Title"/>
    <w:basedOn w:val="1"/>
    <w:link w:val="222"/>
    <w:qFormat/>
    <w:uiPriority w:val="0"/>
    <w:pPr>
      <w:tabs>
        <w:tab w:val="left" w:pos="360"/>
      </w:tabs>
      <w:spacing w:before="240" w:after="60"/>
      <w:ind w:left="360" w:hanging="360"/>
      <w:jc w:val="center"/>
      <w:outlineLvl w:val="0"/>
    </w:pPr>
    <w:rPr>
      <w:rFonts w:ascii="Arial" w:hAnsi="Arial" w:cs="Arial"/>
      <w:b/>
      <w:bCs/>
      <w:sz w:val="32"/>
      <w:szCs w:val="32"/>
    </w:rPr>
  </w:style>
  <w:style w:type="paragraph" w:styleId="36">
    <w:name w:val="annotation subject"/>
    <w:basedOn w:val="14"/>
    <w:next w:val="14"/>
    <w:link w:val="70"/>
    <w:qFormat/>
    <w:uiPriority w:val="99"/>
    <w:rPr>
      <w:b/>
      <w:bCs/>
    </w:rPr>
  </w:style>
  <w:style w:type="paragraph" w:styleId="37">
    <w:name w:val="Body Text First Indent"/>
    <w:basedOn w:val="18"/>
    <w:link w:val="193"/>
    <w:qFormat/>
    <w:uiPriority w:val="0"/>
    <w:pPr>
      <w:ind w:firstLine="420" w:firstLineChars="100"/>
    </w:pPr>
  </w:style>
  <w:style w:type="paragraph" w:styleId="38">
    <w:name w:val="Body Text First Indent 2"/>
    <w:basedOn w:val="19"/>
    <w:link w:val="80"/>
    <w:qFormat/>
    <w:uiPriority w:val="0"/>
    <w:pPr>
      <w:widowControl w:val="0"/>
      <w:autoSpaceDE/>
      <w:autoSpaceDN/>
      <w:adjustRightInd/>
      <w:spacing w:after="120" w:line="360" w:lineRule="auto"/>
      <w:ind w:left="420" w:firstLine="210"/>
      <w:jc w:val="both"/>
    </w:pPr>
    <w:rPr>
      <w:rFonts w:ascii="Times New Roman"/>
      <w:kern w:val="2"/>
    </w:rPr>
  </w:style>
  <w:style w:type="table" w:styleId="40">
    <w:name w:val="Table Grid"/>
    <w:basedOn w:val="3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qFormat/>
    <w:uiPriority w:val="0"/>
    <w:rPr>
      <w:b/>
      <w:bCs/>
    </w:rPr>
  </w:style>
  <w:style w:type="character" w:styleId="43">
    <w:name w:val="page number"/>
    <w:basedOn w:val="41"/>
    <w:qFormat/>
    <w:uiPriority w:val="0"/>
  </w:style>
  <w:style w:type="character" w:styleId="44">
    <w:name w:val="FollowedHyperlink"/>
    <w:qFormat/>
    <w:uiPriority w:val="99"/>
    <w:rPr>
      <w:color w:val="800080"/>
      <w:u w:val="single"/>
    </w:rPr>
  </w:style>
  <w:style w:type="character" w:styleId="45">
    <w:name w:val="Emphasis"/>
    <w:qFormat/>
    <w:uiPriority w:val="20"/>
    <w:rPr>
      <w:color w:val="CC0000"/>
    </w:rPr>
  </w:style>
  <w:style w:type="character" w:styleId="46">
    <w:name w:val="Hyperlink"/>
    <w:qFormat/>
    <w:uiPriority w:val="99"/>
    <w:rPr>
      <w:color w:val="0000FF"/>
      <w:u w:val="single"/>
    </w:rPr>
  </w:style>
  <w:style w:type="character" w:styleId="47">
    <w:name w:val="annotation reference"/>
    <w:qFormat/>
    <w:uiPriority w:val="99"/>
    <w:rPr>
      <w:sz w:val="21"/>
      <w:szCs w:val="21"/>
    </w:rPr>
  </w:style>
  <w:style w:type="character" w:styleId="48">
    <w:name w:val="HTML Cite"/>
    <w:qFormat/>
    <w:uiPriority w:val="0"/>
    <w:rPr>
      <w:color w:val="008000"/>
    </w:rPr>
  </w:style>
  <w:style w:type="character" w:styleId="49">
    <w:name w:val="footnote reference"/>
    <w:qFormat/>
    <w:uiPriority w:val="0"/>
    <w:rPr>
      <w:vertAlign w:val="superscript"/>
    </w:rPr>
  </w:style>
  <w:style w:type="character" w:customStyle="1" w:styleId="50">
    <w:name w:val="标题 1 字符1"/>
    <w:basedOn w:val="41"/>
    <w:link w:val="2"/>
    <w:qFormat/>
    <w:uiPriority w:val="0"/>
    <w:rPr>
      <w:rFonts w:ascii="Times New Roman" w:hAnsi="Times New Roman" w:eastAsia="楷体" w:cs="Times New Roman"/>
      <w:b/>
      <w:bCs/>
      <w:kern w:val="44"/>
      <w:sz w:val="36"/>
      <w:szCs w:val="44"/>
    </w:rPr>
  </w:style>
  <w:style w:type="character" w:customStyle="1" w:styleId="51">
    <w:name w:val="标题 2 字符"/>
    <w:link w:val="3"/>
    <w:qFormat/>
    <w:uiPriority w:val="0"/>
    <w:rPr>
      <w:rFonts w:ascii="Arial" w:hAnsi="Arial" w:eastAsia="楷体" w:cs="Times New Roman"/>
      <w:b/>
      <w:bCs/>
      <w:sz w:val="24"/>
      <w:szCs w:val="32"/>
    </w:rPr>
  </w:style>
  <w:style w:type="character" w:customStyle="1" w:styleId="52">
    <w:name w:val="标题 3 字符"/>
    <w:link w:val="4"/>
    <w:qFormat/>
    <w:uiPriority w:val="0"/>
    <w:rPr>
      <w:rFonts w:ascii="Times New Roman" w:hAnsi="Times New Roman" w:eastAsia="宋体" w:cs="Times New Roman"/>
      <w:b/>
      <w:sz w:val="32"/>
      <w:szCs w:val="20"/>
    </w:rPr>
  </w:style>
  <w:style w:type="character" w:customStyle="1" w:styleId="53">
    <w:name w:val="标题 4 字符"/>
    <w:link w:val="5"/>
    <w:qFormat/>
    <w:uiPriority w:val="9"/>
    <w:rPr>
      <w:rFonts w:ascii="Arial" w:hAnsi="Arial" w:eastAsia="黑体" w:cs="Times New Roman"/>
      <w:b/>
      <w:kern w:val="0"/>
      <w:sz w:val="28"/>
      <w:szCs w:val="20"/>
    </w:rPr>
  </w:style>
  <w:style w:type="character" w:customStyle="1" w:styleId="54">
    <w:name w:val="标题 5 字符"/>
    <w:link w:val="6"/>
    <w:qFormat/>
    <w:uiPriority w:val="0"/>
    <w:rPr>
      <w:rFonts w:ascii="Times New Roman" w:hAnsi="Times New Roman" w:eastAsia="宋体" w:cs="Times New Roman"/>
      <w:b/>
      <w:kern w:val="0"/>
      <w:sz w:val="28"/>
      <w:szCs w:val="20"/>
    </w:rPr>
  </w:style>
  <w:style w:type="character" w:customStyle="1" w:styleId="55">
    <w:name w:val="标题 6 字符"/>
    <w:link w:val="7"/>
    <w:qFormat/>
    <w:uiPriority w:val="0"/>
    <w:rPr>
      <w:rFonts w:ascii="Arial" w:hAnsi="Arial" w:eastAsia="黑体" w:cs="Times New Roman"/>
      <w:b/>
      <w:kern w:val="0"/>
      <w:sz w:val="24"/>
      <w:szCs w:val="20"/>
    </w:rPr>
  </w:style>
  <w:style w:type="character" w:customStyle="1" w:styleId="56">
    <w:name w:val="标题 7 字符"/>
    <w:link w:val="8"/>
    <w:qFormat/>
    <w:uiPriority w:val="0"/>
    <w:rPr>
      <w:rFonts w:ascii="Times New Roman" w:hAnsi="Times New Roman" w:eastAsia="宋体" w:cs="Times New Roman"/>
      <w:b/>
      <w:kern w:val="0"/>
      <w:sz w:val="24"/>
      <w:szCs w:val="20"/>
    </w:rPr>
  </w:style>
  <w:style w:type="character" w:customStyle="1" w:styleId="57">
    <w:name w:val="标题 8 字符"/>
    <w:link w:val="9"/>
    <w:qFormat/>
    <w:uiPriority w:val="0"/>
    <w:rPr>
      <w:rFonts w:ascii="Arial" w:hAnsi="Arial" w:eastAsia="黑体" w:cs="Times New Roman"/>
      <w:kern w:val="0"/>
      <w:sz w:val="24"/>
      <w:szCs w:val="20"/>
    </w:rPr>
  </w:style>
  <w:style w:type="character" w:customStyle="1" w:styleId="58">
    <w:name w:val="标题 9 字符"/>
    <w:link w:val="10"/>
    <w:qFormat/>
    <w:uiPriority w:val="0"/>
    <w:rPr>
      <w:rFonts w:ascii="Arial" w:hAnsi="Arial" w:eastAsia="黑体" w:cs="Times New Roman"/>
      <w:kern w:val="0"/>
      <w:szCs w:val="20"/>
    </w:rPr>
  </w:style>
  <w:style w:type="character" w:customStyle="1" w:styleId="59">
    <w:name w:val="页眉 字符1"/>
    <w:basedOn w:val="41"/>
    <w:link w:val="27"/>
    <w:qFormat/>
    <w:uiPriority w:val="0"/>
    <w:rPr>
      <w:sz w:val="18"/>
      <w:szCs w:val="18"/>
    </w:rPr>
  </w:style>
  <w:style w:type="character" w:customStyle="1" w:styleId="60">
    <w:name w:val="页脚 字符1"/>
    <w:basedOn w:val="41"/>
    <w:link w:val="26"/>
    <w:qFormat/>
    <w:uiPriority w:val="99"/>
    <w:rPr>
      <w:sz w:val="18"/>
      <w:szCs w:val="18"/>
    </w:rPr>
  </w:style>
  <w:style w:type="character" w:customStyle="1" w:styleId="61">
    <w:name w:val="标题 2 Char"/>
    <w:basedOn w:val="41"/>
    <w:qFormat/>
    <w:uiPriority w:val="9"/>
    <w:rPr>
      <w:rFonts w:asciiTheme="majorHAnsi" w:hAnsiTheme="majorHAnsi" w:eastAsiaTheme="majorEastAsia" w:cstheme="majorBidi"/>
      <w:b/>
      <w:bCs/>
      <w:sz w:val="32"/>
      <w:szCs w:val="32"/>
    </w:rPr>
  </w:style>
  <w:style w:type="character" w:customStyle="1" w:styleId="62">
    <w:name w:val="标题 3 Char"/>
    <w:basedOn w:val="41"/>
    <w:qFormat/>
    <w:uiPriority w:val="9"/>
    <w:rPr>
      <w:rFonts w:ascii="Times New Roman" w:hAnsi="Times New Roman" w:eastAsia="宋体" w:cs="Times New Roman"/>
      <w:b/>
      <w:bCs/>
      <w:sz w:val="32"/>
      <w:szCs w:val="32"/>
    </w:rPr>
  </w:style>
  <w:style w:type="character" w:customStyle="1" w:styleId="63">
    <w:name w:val="标题 4 Char"/>
    <w:basedOn w:val="41"/>
    <w:semiHidden/>
    <w:qFormat/>
    <w:uiPriority w:val="9"/>
    <w:rPr>
      <w:rFonts w:asciiTheme="majorHAnsi" w:hAnsiTheme="majorHAnsi" w:eastAsiaTheme="majorEastAsia" w:cstheme="majorBidi"/>
      <w:b/>
      <w:bCs/>
      <w:sz w:val="28"/>
      <w:szCs w:val="28"/>
    </w:rPr>
  </w:style>
  <w:style w:type="character" w:customStyle="1" w:styleId="64">
    <w:name w:val="标题 5 Char"/>
    <w:basedOn w:val="41"/>
    <w:semiHidden/>
    <w:qFormat/>
    <w:uiPriority w:val="9"/>
    <w:rPr>
      <w:rFonts w:ascii="Times New Roman" w:hAnsi="Times New Roman" w:eastAsia="宋体" w:cs="Times New Roman"/>
      <w:b/>
      <w:bCs/>
      <w:sz w:val="28"/>
      <w:szCs w:val="28"/>
    </w:rPr>
  </w:style>
  <w:style w:type="character" w:customStyle="1" w:styleId="65">
    <w:name w:val="标题 6 Char"/>
    <w:basedOn w:val="41"/>
    <w:semiHidden/>
    <w:qFormat/>
    <w:uiPriority w:val="9"/>
    <w:rPr>
      <w:rFonts w:asciiTheme="majorHAnsi" w:hAnsiTheme="majorHAnsi" w:eastAsiaTheme="majorEastAsia" w:cstheme="majorBidi"/>
      <w:b/>
      <w:bCs/>
      <w:sz w:val="24"/>
      <w:szCs w:val="24"/>
    </w:rPr>
  </w:style>
  <w:style w:type="character" w:customStyle="1" w:styleId="66">
    <w:name w:val="标题 7 Char"/>
    <w:basedOn w:val="41"/>
    <w:semiHidden/>
    <w:qFormat/>
    <w:uiPriority w:val="9"/>
    <w:rPr>
      <w:rFonts w:ascii="Times New Roman" w:hAnsi="Times New Roman" w:eastAsia="宋体" w:cs="Times New Roman"/>
      <w:b/>
      <w:bCs/>
      <w:sz w:val="24"/>
      <w:szCs w:val="24"/>
    </w:rPr>
  </w:style>
  <w:style w:type="character" w:customStyle="1" w:styleId="67">
    <w:name w:val="标题 8 Char"/>
    <w:basedOn w:val="41"/>
    <w:semiHidden/>
    <w:qFormat/>
    <w:uiPriority w:val="9"/>
    <w:rPr>
      <w:rFonts w:asciiTheme="majorHAnsi" w:hAnsiTheme="majorHAnsi" w:eastAsiaTheme="majorEastAsia" w:cstheme="majorBidi"/>
      <w:sz w:val="24"/>
      <w:szCs w:val="24"/>
    </w:rPr>
  </w:style>
  <w:style w:type="character" w:customStyle="1" w:styleId="68">
    <w:name w:val="标题 9 Char"/>
    <w:basedOn w:val="41"/>
    <w:semiHidden/>
    <w:qFormat/>
    <w:uiPriority w:val="9"/>
    <w:rPr>
      <w:rFonts w:asciiTheme="majorHAnsi" w:hAnsiTheme="majorHAnsi" w:eastAsiaTheme="majorEastAsia" w:cstheme="majorBidi"/>
      <w:szCs w:val="21"/>
    </w:rPr>
  </w:style>
  <w:style w:type="character" w:customStyle="1" w:styleId="69">
    <w:name w:val="批注文字 字符1"/>
    <w:basedOn w:val="41"/>
    <w:link w:val="14"/>
    <w:qFormat/>
    <w:uiPriority w:val="99"/>
    <w:rPr>
      <w:rFonts w:ascii="Times New Roman" w:hAnsi="Times New Roman" w:eastAsia="宋体" w:cs="Times New Roman"/>
      <w:szCs w:val="24"/>
    </w:rPr>
  </w:style>
  <w:style w:type="character" w:customStyle="1" w:styleId="70">
    <w:name w:val="批注主题 字符"/>
    <w:basedOn w:val="69"/>
    <w:link w:val="36"/>
    <w:qFormat/>
    <w:uiPriority w:val="99"/>
    <w:rPr>
      <w:rFonts w:ascii="Times New Roman" w:hAnsi="Times New Roman" w:eastAsia="宋体" w:cs="Times New Roman"/>
      <w:b/>
      <w:bCs/>
      <w:szCs w:val="24"/>
    </w:rPr>
  </w:style>
  <w:style w:type="character" w:customStyle="1" w:styleId="71">
    <w:name w:val="文档结构图 字符"/>
    <w:basedOn w:val="41"/>
    <w:link w:val="13"/>
    <w:qFormat/>
    <w:uiPriority w:val="99"/>
    <w:rPr>
      <w:rFonts w:ascii="Times New Roman" w:hAnsi="Times New Roman" w:eastAsia="宋体" w:cs="Times New Roman"/>
      <w:szCs w:val="24"/>
      <w:shd w:val="clear" w:color="auto" w:fill="000080"/>
    </w:rPr>
  </w:style>
  <w:style w:type="character" w:customStyle="1" w:styleId="72">
    <w:name w:val="正文文本 字符"/>
    <w:basedOn w:val="41"/>
    <w:link w:val="18"/>
    <w:qFormat/>
    <w:uiPriority w:val="99"/>
    <w:rPr>
      <w:rFonts w:ascii="Times New Roman" w:hAnsi="Times New Roman" w:eastAsia="宋体" w:cs="Times New Roman"/>
      <w:szCs w:val="24"/>
    </w:rPr>
  </w:style>
  <w:style w:type="character" w:customStyle="1" w:styleId="73">
    <w:name w:val="正文文本 Char"/>
    <w:basedOn w:val="41"/>
    <w:semiHidden/>
    <w:qFormat/>
    <w:uiPriority w:val="99"/>
    <w:rPr>
      <w:rFonts w:ascii="Times New Roman" w:hAnsi="Times New Roman" w:eastAsia="宋体" w:cs="Times New Roman"/>
      <w:szCs w:val="24"/>
    </w:rPr>
  </w:style>
  <w:style w:type="character" w:customStyle="1" w:styleId="74">
    <w:name w:val="正文文本缩进 字符"/>
    <w:basedOn w:val="41"/>
    <w:link w:val="19"/>
    <w:qFormat/>
    <w:uiPriority w:val="0"/>
    <w:rPr>
      <w:rFonts w:ascii="宋体" w:hAnsi="Times New Roman" w:eastAsia="宋体" w:cs="Times New Roman"/>
      <w:kern w:val="0"/>
      <w:sz w:val="24"/>
      <w:szCs w:val="20"/>
    </w:rPr>
  </w:style>
  <w:style w:type="character" w:customStyle="1" w:styleId="75">
    <w:name w:val="纯文本 字符1"/>
    <w:basedOn w:val="41"/>
    <w:link w:val="22"/>
    <w:qFormat/>
    <w:uiPriority w:val="0"/>
    <w:rPr>
      <w:rFonts w:ascii="宋体" w:hAnsi="Courier New" w:eastAsia="宋体" w:cs="Times New Roman"/>
      <w:sz w:val="19"/>
      <w:szCs w:val="20"/>
    </w:rPr>
  </w:style>
  <w:style w:type="character" w:customStyle="1" w:styleId="76">
    <w:name w:val="日期 字符1"/>
    <w:basedOn w:val="41"/>
    <w:link w:val="23"/>
    <w:qFormat/>
    <w:uiPriority w:val="0"/>
    <w:rPr>
      <w:rFonts w:ascii="宋体" w:hAnsi="Times New Roman" w:eastAsia="宋体" w:cs="Times New Roman"/>
      <w:kern w:val="0"/>
      <w:sz w:val="28"/>
      <w:szCs w:val="20"/>
    </w:rPr>
  </w:style>
  <w:style w:type="character" w:customStyle="1" w:styleId="77">
    <w:name w:val="正文文本缩进 2 字符"/>
    <w:link w:val="24"/>
    <w:qFormat/>
    <w:uiPriority w:val="0"/>
    <w:rPr>
      <w:rFonts w:ascii="Times New Roman" w:hAnsi="Times New Roman" w:eastAsia="宋体" w:cs="Times New Roman"/>
      <w:sz w:val="28"/>
      <w:szCs w:val="20"/>
    </w:rPr>
  </w:style>
  <w:style w:type="character" w:customStyle="1" w:styleId="78">
    <w:name w:val="正文文本缩进 2 Char"/>
    <w:basedOn w:val="41"/>
    <w:semiHidden/>
    <w:qFormat/>
    <w:uiPriority w:val="99"/>
    <w:rPr>
      <w:rFonts w:ascii="Times New Roman" w:hAnsi="Times New Roman" w:eastAsia="宋体" w:cs="Times New Roman"/>
      <w:szCs w:val="24"/>
    </w:rPr>
  </w:style>
  <w:style w:type="character" w:customStyle="1" w:styleId="79">
    <w:name w:val="批注框文本 字符"/>
    <w:basedOn w:val="41"/>
    <w:link w:val="25"/>
    <w:qFormat/>
    <w:uiPriority w:val="99"/>
    <w:rPr>
      <w:rFonts w:ascii="Times New Roman" w:hAnsi="Times New Roman" w:eastAsia="宋体" w:cs="Times New Roman"/>
      <w:sz w:val="18"/>
      <w:szCs w:val="18"/>
    </w:rPr>
  </w:style>
  <w:style w:type="character" w:customStyle="1" w:styleId="80">
    <w:name w:val="正文首行缩进 2 字符"/>
    <w:link w:val="38"/>
    <w:qFormat/>
    <w:uiPriority w:val="0"/>
    <w:rPr>
      <w:rFonts w:ascii="Times New Roman" w:hAnsi="Times New Roman" w:eastAsia="宋体" w:cs="Times New Roman"/>
      <w:sz w:val="24"/>
      <w:szCs w:val="20"/>
    </w:rPr>
  </w:style>
  <w:style w:type="character" w:customStyle="1" w:styleId="81">
    <w:name w:val="正文首行缩进 2 Char"/>
    <w:basedOn w:val="74"/>
    <w:semiHidden/>
    <w:qFormat/>
    <w:uiPriority w:val="99"/>
    <w:rPr>
      <w:rFonts w:ascii="宋体" w:hAnsi="Times New Roman" w:eastAsia="宋体" w:cs="Times New Roman"/>
      <w:kern w:val="0"/>
      <w:sz w:val="24"/>
      <w:szCs w:val="20"/>
    </w:rPr>
  </w:style>
  <w:style w:type="character" w:customStyle="1" w:styleId="82">
    <w:name w:val="脚注文本 字符"/>
    <w:basedOn w:val="41"/>
    <w:link w:val="29"/>
    <w:qFormat/>
    <w:uiPriority w:val="0"/>
    <w:rPr>
      <w:rFonts w:ascii="Times New Roman" w:hAnsi="Times New Roman" w:eastAsia="宋体" w:cs="Times New Roman"/>
      <w:sz w:val="18"/>
      <w:szCs w:val="18"/>
    </w:rPr>
  </w:style>
  <w:style w:type="character" w:customStyle="1" w:styleId="83">
    <w:name w:val="正文文本缩进 3 字符"/>
    <w:link w:val="30"/>
    <w:qFormat/>
    <w:uiPriority w:val="0"/>
    <w:rPr>
      <w:rFonts w:ascii="Times New Roman" w:hAnsi="Times New Roman" w:eastAsia="宋体" w:cs="Times New Roman"/>
      <w:color w:val="FF0000"/>
      <w:sz w:val="24"/>
      <w:szCs w:val="24"/>
    </w:rPr>
  </w:style>
  <w:style w:type="character" w:customStyle="1" w:styleId="84">
    <w:name w:val="正文文本缩进 3 Char"/>
    <w:basedOn w:val="41"/>
    <w:semiHidden/>
    <w:qFormat/>
    <w:uiPriority w:val="99"/>
    <w:rPr>
      <w:rFonts w:ascii="Times New Roman" w:hAnsi="Times New Roman" w:eastAsia="宋体" w:cs="Times New Roman"/>
      <w:sz w:val="16"/>
      <w:szCs w:val="16"/>
    </w:rPr>
  </w:style>
  <w:style w:type="character" w:customStyle="1" w:styleId="85">
    <w:name w:val="ca-4"/>
    <w:basedOn w:val="41"/>
    <w:qFormat/>
    <w:uiPriority w:val="0"/>
  </w:style>
  <w:style w:type="character" w:customStyle="1" w:styleId="86">
    <w:name w:val="aa"/>
    <w:basedOn w:val="41"/>
    <w:qFormat/>
    <w:uiPriority w:val="0"/>
  </w:style>
  <w:style w:type="character" w:customStyle="1" w:styleId="87">
    <w:name w:val="ca-2"/>
    <w:basedOn w:val="41"/>
    <w:qFormat/>
    <w:uiPriority w:val="0"/>
  </w:style>
  <w:style w:type="character" w:customStyle="1" w:styleId="88">
    <w:name w:val="bu1"/>
    <w:qFormat/>
    <w:uiPriority w:val="0"/>
    <w:rPr>
      <w:sz w:val="26"/>
      <w:szCs w:val="26"/>
    </w:rPr>
  </w:style>
  <w:style w:type="paragraph" w:customStyle="1" w:styleId="89">
    <w:name w:val="xl24"/>
    <w:basedOn w:val="1"/>
    <w:qFormat/>
    <w:uiPriority w:val="0"/>
    <w:pPr>
      <w:spacing w:before="100" w:after="100"/>
      <w:jc w:val="center"/>
    </w:pPr>
    <w:rPr>
      <w:rFonts w:ascii="宋体" w:hAnsi="宋体"/>
      <w:kern w:val="0"/>
      <w:sz w:val="24"/>
      <w:szCs w:val="20"/>
    </w:rPr>
  </w:style>
  <w:style w:type="paragraph" w:customStyle="1" w:styleId="90">
    <w:name w:val="正文1"/>
    <w:basedOn w:val="1"/>
    <w:qFormat/>
    <w:uiPriority w:val="0"/>
    <w:pPr>
      <w:spacing w:line="480" w:lineRule="exact"/>
      <w:ind w:firstLine="480" w:firstLineChars="200"/>
    </w:pPr>
    <w:rPr>
      <w:rFonts w:ascii="宋体"/>
      <w:sz w:val="24"/>
      <w:szCs w:val="20"/>
    </w:rPr>
  </w:style>
  <w:style w:type="paragraph" w:customStyle="1" w:styleId="91">
    <w:name w:val="Header Base"/>
    <w:basedOn w:val="18"/>
    <w:qFormat/>
    <w:uiPriority w:val="0"/>
    <w:pPr>
      <w:keepLines/>
      <w:tabs>
        <w:tab w:val="center" w:pos="4320"/>
        <w:tab w:val="right" w:pos="8640"/>
      </w:tabs>
      <w:suppressAutoHyphens/>
      <w:spacing w:after="0" w:line="180" w:lineRule="atLeast"/>
    </w:pPr>
    <w:rPr>
      <w:rFonts w:ascii="Arial" w:hAnsi="Arial" w:eastAsia="微软简楷体"/>
      <w:spacing w:val="-5"/>
      <w:kern w:val="0"/>
      <w:sz w:val="24"/>
      <w:szCs w:val="20"/>
    </w:rPr>
  </w:style>
  <w:style w:type="paragraph" w:customStyle="1" w:styleId="92">
    <w:name w:val="列出段落2"/>
    <w:basedOn w:val="1"/>
    <w:qFormat/>
    <w:uiPriority w:val="0"/>
    <w:pPr>
      <w:ind w:firstLine="420" w:firstLineChars="200"/>
    </w:pPr>
  </w:style>
  <w:style w:type="paragraph" w:customStyle="1" w:styleId="93">
    <w:name w:val="列出段落3"/>
    <w:basedOn w:val="1"/>
    <w:unhideWhenUsed/>
    <w:qFormat/>
    <w:uiPriority w:val="99"/>
    <w:pPr>
      <w:ind w:firstLine="420" w:firstLineChars="200"/>
    </w:pPr>
  </w:style>
  <w:style w:type="paragraph" w:customStyle="1" w:styleId="94">
    <w:name w:val="Char"/>
    <w:basedOn w:val="1"/>
    <w:qFormat/>
    <w:uiPriority w:val="0"/>
  </w:style>
  <w:style w:type="paragraph" w:customStyle="1" w:styleId="95">
    <w:name w:val="列出段落1"/>
    <w:basedOn w:val="1"/>
    <w:qFormat/>
    <w:uiPriority w:val="99"/>
    <w:pPr>
      <w:ind w:firstLine="420" w:firstLineChars="200"/>
    </w:pPr>
  </w:style>
  <w:style w:type="paragraph" w:customStyle="1" w:styleId="96">
    <w:name w:val="样式1"/>
    <w:basedOn w:val="1"/>
    <w:qFormat/>
    <w:uiPriority w:val="0"/>
    <w:pPr>
      <w:tabs>
        <w:tab w:val="left" w:pos="753"/>
      </w:tabs>
    </w:pPr>
    <w:rPr>
      <w:rFonts w:ascii="宋体" w:hAnsi="宋体"/>
      <w:szCs w:val="21"/>
    </w:rPr>
  </w:style>
  <w:style w:type="paragraph" w:customStyle="1" w:styleId="97">
    <w:name w:val="普通 (Web)"/>
    <w:basedOn w:val="1"/>
    <w:qFormat/>
    <w:uiPriority w:val="0"/>
    <w:pPr>
      <w:suppressAutoHyphens/>
      <w:spacing w:before="100" w:after="100"/>
    </w:pPr>
    <w:rPr>
      <w:rFonts w:ascii="Arial Unicode MS" w:hAnsi="Arial Unicode MS" w:eastAsia="Arial Unicode MS" w:cs="Courier New"/>
      <w:color w:val="000000"/>
      <w:kern w:val="1"/>
      <w:sz w:val="24"/>
      <w:szCs w:val="20"/>
      <w:lang w:eastAsia="ar-SA"/>
    </w:rPr>
  </w:style>
  <w:style w:type="paragraph" w:customStyle="1" w:styleId="98">
    <w:name w:val="Char1"/>
    <w:basedOn w:val="1"/>
    <w:qFormat/>
    <w:uiPriority w:val="0"/>
  </w:style>
  <w:style w:type="paragraph" w:customStyle="1" w:styleId="99">
    <w:name w:val="TOC 标题1"/>
    <w:basedOn w:val="2"/>
    <w:next w:val="1"/>
    <w:qFormat/>
    <w:uiPriority w:val="39"/>
    <w:pPr>
      <w:spacing w:before="480" w:line="276" w:lineRule="auto"/>
      <w:jc w:val="left"/>
      <w:outlineLvl w:val="9"/>
    </w:pPr>
    <w:rPr>
      <w:rFonts w:ascii="Cambria" w:hAnsi="Cambria" w:eastAsia="宋体"/>
      <w:color w:val="365F91"/>
      <w:kern w:val="0"/>
      <w:sz w:val="28"/>
      <w:szCs w:val="28"/>
    </w:rPr>
  </w:style>
  <w:style w:type="paragraph" w:customStyle="1" w:styleId="100">
    <w:name w:val="_Style 1"/>
    <w:basedOn w:val="1"/>
    <w:qFormat/>
    <w:uiPriority w:val="34"/>
    <w:pPr>
      <w:ind w:firstLine="420" w:firstLineChars="200"/>
    </w:pPr>
  </w:style>
  <w:style w:type="paragraph" w:customStyle="1" w:styleId="101">
    <w:name w:val="列出段落4"/>
    <w:basedOn w:val="1"/>
    <w:link w:val="102"/>
    <w:unhideWhenUsed/>
    <w:qFormat/>
    <w:uiPriority w:val="34"/>
    <w:pPr>
      <w:ind w:firstLine="420" w:firstLineChars="200"/>
    </w:pPr>
  </w:style>
  <w:style w:type="character" w:customStyle="1" w:styleId="102">
    <w:name w:val="列出段落 Char"/>
    <w:link w:val="101"/>
    <w:qFormat/>
    <w:uiPriority w:val="34"/>
    <w:rPr>
      <w:rFonts w:ascii="Times New Roman" w:hAnsi="Times New Roman" w:eastAsia="宋体" w:cs="Times New Roman"/>
      <w:szCs w:val="24"/>
    </w:rPr>
  </w:style>
  <w:style w:type="character" w:customStyle="1" w:styleId="103">
    <w:name w:val="标题 1 字符"/>
    <w:qFormat/>
    <w:uiPriority w:val="9"/>
    <w:rPr>
      <w:rFonts w:eastAsia="黑体"/>
      <w:bCs/>
      <w:kern w:val="44"/>
      <w:sz w:val="32"/>
      <w:szCs w:val="44"/>
    </w:rPr>
  </w:style>
  <w:style w:type="character" w:customStyle="1" w:styleId="104">
    <w:name w:val="页眉 字符"/>
    <w:qFormat/>
    <w:uiPriority w:val="99"/>
    <w:rPr>
      <w:sz w:val="18"/>
      <w:szCs w:val="18"/>
    </w:rPr>
  </w:style>
  <w:style w:type="character" w:customStyle="1" w:styleId="105">
    <w:name w:val="页脚 字符"/>
    <w:qFormat/>
    <w:uiPriority w:val="99"/>
    <w:rPr>
      <w:sz w:val="18"/>
      <w:szCs w:val="18"/>
    </w:rPr>
  </w:style>
  <w:style w:type="character" w:customStyle="1" w:styleId="106">
    <w:name w:val="批注文字 字符"/>
    <w:basedOn w:val="41"/>
    <w:qFormat/>
    <w:uiPriority w:val="99"/>
  </w:style>
  <w:style w:type="paragraph" w:customStyle="1" w:styleId="107">
    <w:name w:val="Char Char Char1 Char"/>
    <w:basedOn w:val="1"/>
    <w:qFormat/>
    <w:uiPriority w:val="0"/>
    <w:rPr>
      <w:rFonts w:ascii="Tahoma" w:hAnsi="Tahoma"/>
      <w:sz w:val="24"/>
      <w:szCs w:val="20"/>
    </w:rPr>
  </w:style>
  <w:style w:type="paragraph" w:customStyle="1" w:styleId="108">
    <w:name w:val="font5"/>
    <w:basedOn w:val="1"/>
    <w:qFormat/>
    <w:uiPriority w:val="0"/>
    <w:pPr>
      <w:spacing w:before="100" w:beforeAutospacing="1" w:after="100" w:afterAutospacing="1"/>
    </w:pPr>
    <w:rPr>
      <w:rFonts w:ascii="宋体" w:hAnsi="宋体" w:cs="宋体"/>
      <w:kern w:val="0"/>
      <w:sz w:val="18"/>
      <w:szCs w:val="18"/>
    </w:rPr>
  </w:style>
  <w:style w:type="paragraph" w:customStyle="1" w:styleId="109">
    <w:name w:val="font6"/>
    <w:basedOn w:val="1"/>
    <w:qFormat/>
    <w:uiPriority w:val="0"/>
    <w:pPr>
      <w:spacing w:before="100" w:beforeAutospacing="1" w:after="100" w:afterAutospacing="1"/>
    </w:pPr>
    <w:rPr>
      <w:rFonts w:ascii="宋体" w:hAnsi="宋体" w:cs="宋体"/>
      <w:kern w:val="0"/>
      <w:sz w:val="20"/>
      <w:szCs w:val="20"/>
    </w:rPr>
  </w:style>
  <w:style w:type="paragraph" w:customStyle="1" w:styleId="110">
    <w:name w:val="font8"/>
    <w:basedOn w:val="1"/>
    <w:qFormat/>
    <w:uiPriority w:val="0"/>
    <w:pPr>
      <w:spacing w:before="100" w:beforeAutospacing="1" w:after="100" w:afterAutospacing="1"/>
    </w:pPr>
    <w:rPr>
      <w:kern w:val="0"/>
      <w:sz w:val="36"/>
      <w:szCs w:val="36"/>
    </w:rPr>
  </w:style>
  <w:style w:type="paragraph" w:customStyle="1" w:styleId="111">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12">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13">
    <w:name w:val="font7"/>
    <w:basedOn w:val="1"/>
    <w:qFormat/>
    <w:uiPriority w:val="0"/>
    <w:pPr>
      <w:spacing w:before="100" w:beforeAutospacing="1" w:after="100" w:afterAutospacing="1"/>
    </w:pPr>
    <w:rPr>
      <w:rFonts w:eastAsia="Arial Unicode MS"/>
      <w:b/>
      <w:bCs/>
      <w:color w:val="000000"/>
      <w:kern w:val="0"/>
      <w:sz w:val="20"/>
      <w:szCs w:val="20"/>
    </w:rPr>
  </w:style>
  <w:style w:type="paragraph" w:customStyle="1" w:styleId="114">
    <w:name w:val="font9"/>
    <w:basedOn w:val="1"/>
    <w:qFormat/>
    <w:uiPriority w:val="0"/>
    <w:pPr>
      <w:spacing w:before="100" w:beforeAutospacing="1" w:after="100" w:afterAutospacing="1"/>
    </w:pPr>
    <w:rPr>
      <w:rFonts w:hint="eastAsia" w:ascii="宋体" w:hAnsi="宋体" w:cs="Arial Unicode MS"/>
      <w:color w:val="000000"/>
      <w:kern w:val="0"/>
      <w:sz w:val="20"/>
      <w:szCs w:val="20"/>
    </w:rPr>
  </w:style>
  <w:style w:type="paragraph" w:customStyle="1" w:styleId="115">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16">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7">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1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9">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szCs w:val="20"/>
    </w:rPr>
  </w:style>
  <w:style w:type="paragraph" w:customStyle="1" w:styleId="120">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21">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2">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0"/>
      <w:szCs w:val="20"/>
    </w:rPr>
  </w:style>
  <w:style w:type="paragraph" w:customStyle="1" w:styleId="123">
    <w:name w:val="xl35"/>
    <w:basedOn w:val="1"/>
    <w:qFormat/>
    <w:uiPriority w:val="0"/>
    <w:pPr>
      <w:spacing w:before="100" w:beforeAutospacing="1" w:after="100" w:afterAutospacing="1"/>
    </w:pPr>
    <w:rPr>
      <w:rFonts w:ascii="Arial Unicode MS" w:hAnsi="Arial Unicode MS" w:eastAsia="Arial Unicode MS" w:cs="Arial Unicode MS"/>
      <w:color w:val="000000"/>
      <w:kern w:val="0"/>
      <w:sz w:val="20"/>
      <w:szCs w:val="20"/>
    </w:rPr>
  </w:style>
  <w:style w:type="paragraph" w:customStyle="1" w:styleId="124">
    <w:name w:val="xl36"/>
    <w:basedOn w:val="1"/>
    <w:qFormat/>
    <w:uiPriority w:val="0"/>
    <w:pP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5">
    <w:name w:val="xl37"/>
    <w:basedOn w:val="1"/>
    <w:qFormat/>
    <w:uiPriority w:val="0"/>
    <w:pPr>
      <w:spacing w:before="100" w:beforeAutospacing="1" w:after="100" w:afterAutospacing="1"/>
    </w:pPr>
    <w:rPr>
      <w:rFonts w:ascii="Arial Unicode MS" w:hAnsi="Arial Unicode MS" w:eastAsia="Arial Unicode MS" w:cs="Arial Unicode MS"/>
      <w:color w:val="000000"/>
      <w:kern w:val="0"/>
      <w:sz w:val="20"/>
      <w:szCs w:val="20"/>
    </w:rPr>
  </w:style>
  <w:style w:type="paragraph" w:customStyle="1" w:styleId="126">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16"/>
      <w:szCs w:val="16"/>
    </w:rPr>
  </w:style>
  <w:style w:type="paragraph" w:customStyle="1" w:styleId="127">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8">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szCs w:val="20"/>
    </w:rPr>
  </w:style>
  <w:style w:type="paragraph" w:customStyle="1" w:styleId="129">
    <w:name w:val="xl41"/>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xl43"/>
    <w:basedOn w:val="1"/>
    <w:qFormat/>
    <w:uiPriority w:val="0"/>
    <w:pPr>
      <w:pBdr>
        <w:top w:val="single" w:color="auto" w:sz="4" w:space="0"/>
        <w:left w:val="single" w:color="auto" w:sz="4" w:space="0"/>
        <w:bottom w:val="single" w:color="auto" w:sz="4" w:space="0"/>
      </w:pBdr>
      <w:spacing w:before="100" w:beforeAutospacing="1" w:after="100" w:afterAutospacing="1"/>
    </w:pPr>
    <w:rPr>
      <w:rFonts w:ascii="Arial Unicode MS" w:hAnsi="Arial Unicode MS" w:eastAsia="Arial Unicode MS" w:cs="Arial Unicode MS"/>
      <w:color w:val="000000"/>
      <w:kern w:val="0"/>
      <w:sz w:val="20"/>
      <w:szCs w:val="20"/>
    </w:rPr>
  </w:style>
  <w:style w:type="paragraph" w:customStyle="1" w:styleId="132">
    <w:name w:val="xl44"/>
    <w:basedOn w:val="1"/>
    <w:qFormat/>
    <w:uiPriority w:val="0"/>
    <w:pPr>
      <w:pBdr>
        <w:top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kern w:val="0"/>
      <w:sz w:val="24"/>
    </w:rPr>
  </w:style>
  <w:style w:type="paragraph" w:customStyle="1" w:styleId="133">
    <w:name w:val="xl45"/>
    <w:basedOn w:val="1"/>
    <w:qFormat/>
    <w:uiPriority w:val="0"/>
    <w:pPr>
      <w:pBdr>
        <w:top w:val="single" w:color="auto" w:sz="4" w:space="0"/>
        <w:left w:val="single" w:color="auto" w:sz="4" w:space="0"/>
        <w:bottom w:val="single" w:color="auto" w:sz="4" w:space="0"/>
      </w:pBdr>
      <w:spacing w:before="100" w:beforeAutospacing="1" w:after="100" w:afterAutospacing="1"/>
    </w:pPr>
    <w:rPr>
      <w:rFonts w:ascii="Arial Unicode MS" w:hAnsi="Arial Unicode MS" w:eastAsia="Arial Unicode MS" w:cs="Arial Unicode MS"/>
      <w:b/>
      <w:bCs/>
      <w:color w:val="000000"/>
      <w:kern w:val="0"/>
      <w:sz w:val="20"/>
      <w:szCs w:val="20"/>
    </w:rPr>
  </w:style>
  <w:style w:type="paragraph" w:customStyle="1" w:styleId="134">
    <w:name w:val="xl46"/>
    <w:basedOn w:val="1"/>
    <w:qFormat/>
    <w:uiPriority w:val="0"/>
    <w:pPr>
      <w:pBdr>
        <w:top w:val="single" w:color="auto" w:sz="4" w:space="0"/>
        <w:bottom w:val="single" w:color="auto" w:sz="4" w:space="0"/>
      </w:pBdr>
      <w:spacing w:before="100" w:beforeAutospacing="1" w:after="100" w:afterAutospacing="1"/>
    </w:pPr>
    <w:rPr>
      <w:rFonts w:ascii="Arial Unicode MS" w:hAnsi="Arial Unicode MS" w:eastAsia="Arial Unicode MS" w:cs="Arial Unicode MS"/>
      <w:b/>
      <w:bCs/>
      <w:color w:val="000000"/>
      <w:kern w:val="0"/>
      <w:sz w:val="20"/>
      <w:szCs w:val="20"/>
    </w:rPr>
  </w:style>
  <w:style w:type="paragraph" w:customStyle="1" w:styleId="135">
    <w:name w:val="xl47"/>
    <w:basedOn w:val="1"/>
    <w:qFormat/>
    <w:uiPriority w:val="0"/>
    <w:pPr>
      <w:pBdr>
        <w:top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szCs w:val="20"/>
    </w:rPr>
  </w:style>
  <w:style w:type="paragraph" w:customStyle="1" w:styleId="136">
    <w:name w:val="xl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37">
    <w:name w:val="xl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2"/>
      <w:szCs w:val="22"/>
    </w:rPr>
  </w:style>
  <w:style w:type="paragraph" w:customStyle="1" w:styleId="138">
    <w:name w:val="xl5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39">
    <w:name w:val="xl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40">
    <w:name w:val="xl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41">
    <w:name w:val="xl5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character" w:customStyle="1" w:styleId="142">
    <w:name w:val="正文文本 Char1"/>
    <w:qFormat/>
    <w:uiPriority w:val="0"/>
    <w:rPr>
      <w:color w:val="FF0000"/>
      <w:kern w:val="2"/>
      <w:sz w:val="21"/>
    </w:rPr>
  </w:style>
  <w:style w:type="paragraph" w:customStyle="1" w:styleId="143">
    <w:name w:val="正文 + 宋体"/>
    <w:basedOn w:val="1"/>
    <w:qFormat/>
    <w:uiPriority w:val="0"/>
    <w:pPr>
      <w:ind w:left="360" w:hanging="360"/>
    </w:pPr>
    <w:rPr>
      <w:rFonts w:ascii="宋体" w:hAnsi="宋体" w:cs="宋体"/>
      <w:b/>
      <w:bCs/>
      <w:color w:val="000000"/>
      <w:kern w:val="0"/>
      <w:sz w:val="18"/>
      <w:szCs w:val="18"/>
    </w:rPr>
  </w:style>
  <w:style w:type="paragraph" w:customStyle="1" w:styleId="144">
    <w:name w:val="样式 标题 22nd levelh22Header 2l2第一章 标题 2Heading 2 HiddenHea..."/>
    <w:basedOn w:val="3"/>
    <w:qFormat/>
    <w:uiPriority w:val="0"/>
    <w:pPr>
      <w:tabs>
        <w:tab w:val="left" w:pos="992"/>
      </w:tabs>
      <w:adjustRightInd/>
      <w:snapToGrid/>
      <w:spacing w:before="260" w:after="260"/>
      <w:ind w:left="992" w:hanging="567"/>
      <w:jc w:val="both"/>
    </w:pPr>
    <w:rPr>
      <w:rFonts w:eastAsia="黑体" w:cs="宋体"/>
      <w:szCs w:val="24"/>
    </w:rPr>
  </w:style>
  <w:style w:type="paragraph" w:customStyle="1" w:styleId="145">
    <w:name w:val="样式 标题 22nd levelh22Header 2l2第一章 标题 2Heading 2 HiddenHea...1"/>
    <w:basedOn w:val="3"/>
    <w:qFormat/>
    <w:uiPriority w:val="0"/>
    <w:pPr>
      <w:tabs>
        <w:tab w:val="left" w:pos="992"/>
      </w:tabs>
      <w:adjustRightInd/>
      <w:snapToGrid/>
      <w:spacing w:before="260" w:after="260"/>
      <w:ind w:left="992" w:hanging="567"/>
      <w:jc w:val="both"/>
    </w:pPr>
    <w:rPr>
      <w:rFonts w:eastAsia="黑体" w:cs="宋体"/>
      <w:sz w:val="28"/>
      <w:szCs w:val="20"/>
    </w:rPr>
  </w:style>
  <w:style w:type="paragraph" w:customStyle="1" w:styleId="146">
    <w:name w:val="样式 标题 2H2UNDERRUBRIK 1-2Underrubrik1prop2Heading 2 HiddenH..."/>
    <w:basedOn w:val="3"/>
    <w:qFormat/>
    <w:uiPriority w:val="0"/>
    <w:pPr>
      <w:keepLines w:val="0"/>
      <w:tabs>
        <w:tab w:val="left" w:pos="992"/>
      </w:tabs>
      <w:adjustRightInd/>
      <w:snapToGrid/>
      <w:spacing w:before="240" w:after="240"/>
      <w:ind w:left="992" w:hanging="567"/>
      <w:jc w:val="both"/>
    </w:pPr>
    <w:rPr>
      <w:rFonts w:eastAsia="黑体"/>
      <w:b w:val="0"/>
      <w:bCs w:val="0"/>
      <w:sz w:val="30"/>
      <w:szCs w:val="24"/>
    </w:rPr>
  </w:style>
  <w:style w:type="paragraph" w:customStyle="1" w:styleId="147">
    <w:name w:val="Table Text"/>
    <w:qFormat/>
    <w:uiPriority w:val="0"/>
    <w:pPr>
      <w:snapToGrid w:val="0"/>
      <w:spacing w:before="80" w:after="80"/>
    </w:pPr>
    <w:rPr>
      <w:rFonts w:ascii="Arial" w:hAnsi="Arial" w:eastAsia="宋体" w:cs="Arial"/>
      <w:kern w:val="2"/>
      <w:sz w:val="18"/>
      <w:szCs w:val="18"/>
      <w:lang w:val="en-US" w:eastAsia="zh-CN" w:bidi="ar-SA"/>
    </w:rPr>
  </w:style>
  <w:style w:type="character" w:customStyle="1" w:styleId="148">
    <w:name w:val="Table Text Char1"/>
    <w:qFormat/>
    <w:uiPriority w:val="0"/>
    <w:rPr>
      <w:rFonts w:ascii="Arial" w:hAnsi="Arial" w:eastAsia="宋体" w:cs="Arial"/>
      <w:kern w:val="2"/>
      <w:sz w:val="18"/>
      <w:szCs w:val="18"/>
      <w:lang w:val="en-US" w:eastAsia="zh-CN" w:bidi="ar-SA"/>
    </w:rPr>
  </w:style>
  <w:style w:type="paragraph" w:customStyle="1" w:styleId="149">
    <w:name w:val="Table Text Char Char"/>
    <w:qFormat/>
    <w:uiPriority w:val="0"/>
    <w:pPr>
      <w:snapToGrid w:val="0"/>
      <w:spacing w:before="80" w:after="80"/>
    </w:pPr>
    <w:rPr>
      <w:rFonts w:ascii="Arial" w:hAnsi="Arial" w:eastAsia="宋体" w:cs="Arial"/>
      <w:kern w:val="2"/>
      <w:sz w:val="18"/>
      <w:szCs w:val="21"/>
      <w:lang w:val="en-US" w:eastAsia="zh-CN" w:bidi="ar-SA"/>
    </w:rPr>
  </w:style>
  <w:style w:type="character" w:customStyle="1" w:styleId="150">
    <w:name w:val="Table Text Char Char Char"/>
    <w:qFormat/>
    <w:uiPriority w:val="0"/>
    <w:rPr>
      <w:rFonts w:ascii="Arial" w:hAnsi="Arial" w:eastAsia="宋体" w:cs="Arial"/>
      <w:kern w:val="2"/>
      <w:sz w:val="18"/>
      <w:szCs w:val="21"/>
      <w:lang w:val="en-US" w:eastAsia="zh-CN" w:bidi="ar-SA"/>
    </w:rPr>
  </w:style>
  <w:style w:type="paragraph" w:customStyle="1" w:styleId="151">
    <w:name w:val="Table Description"/>
    <w:next w:val="1"/>
    <w:qFormat/>
    <w:uiPriority w:val="0"/>
    <w:pPr>
      <w:keepNext/>
      <w:snapToGrid w:val="0"/>
      <w:spacing w:before="160" w:after="80"/>
      <w:ind w:left="1134"/>
      <w:jc w:val="center"/>
    </w:pPr>
    <w:rPr>
      <w:rFonts w:ascii="Arial" w:hAnsi="Arial" w:eastAsia="黑体" w:cs="Arial"/>
      <w:kern w:val="2"/>
      <w:sz w:val="18"/>
      <w:szCs w:val="18"/>
      <w:lang w:val="en-US" w:eastAsia="zh-CN" w:bidi="ar-SA"/>
    </w:rPr>
  </w:style>
  <w:style w:type="paragraph" w:customStyle="1" w:styleId="152">
    <w:name w:val="Figure Description"/>
    <w:next w:val="1"/>
    <w:qFormat/>
    <w:uiPriority w:val="0"/>
    <w:pPr>
      <w:snapToGrid w:val="0"/>
      <w:spacing w:before="80" w:after="320"/>
      <w:ind w:left="1134"/>
      <w:jc w:val="center"/>
    </w:pPr>
    <w:rPr>
      <w:rFonts w:ascii="Arial" w:hAnsi="Arial" w:eastAsia="黑体" w:cs="Arial"/>
      <w:sz w:val="18"/>
      <w:szCs w:val="18"/>
      <w:lang w:val="en-US" w:eastAsia="zh-CN" w:bidi="ar-SA"/>
    </w:rPr>
  </w:style>
  <w:style w:type="paragraph" w:customStyle="1" w:styleId="153">
    <w:name w:val="Item List"/>
    <w:qFormat/>
    <w:uiPriority w:val="0"/>
    <w:pPr>
      <w:tabs>
        <w:tab w:val="left" w:pos="870"/>
      </w:tabs>
      <w:spacing w:line="300" w:lineRule="auto"/>
      <w:ind w:left="870" w:hanging="510"/>
      <w:jc w:val="both"/>
    </w:pPr>
    <w:rPr>
      <w:rFonts w:ascii="Arial" w:hAnsi="Arial" w:eastAsia="宋体" w:cs="Arial"/>
      <w:kern w:val="2"/>
      <w:sz w:val="21"/>
      <w:szCs w:val="21"/>
      <w:lang w:val="en-US" w:eastAsia="zh-CN" w:bidi="ar-SA"/>
    </w:rPr>
  </w:style>
  <w:style w:type="paragraph" w:customStyle="1" w:styleId="154">
    <w:name w:val="Table Text Char"/>
    <w:qFormat/>
    <w:uiPriority w:val="0"/>
    <w:pPr>
      <w:snapToGrid w:val="0"/>
      <w:spacing w:before="80" w:after="80"/>
    </w:pPr>
    <w:rPr>
      <w:rFonts w:ascii="Arial" w:hAnsi="Arial" w:eastAsia="宋体" w:cs="Arial"/>
      <w:sz w:val="18"/>
      <w:szCs w:val="18"/>
      <w:lang w:val="en-US" w:eastAsia="zh-CN" w:bidi="ar-SA"/>
    </w:rPr>
  </w:style>
  <w:style w:type="paragraph" w:customStyle="1" w:styleId="155">
    <w:name w:val="默认段落字体 Para Char Char Char Char Char Char Char Char Char1"/>
    <w:basedOn w:val="1"/>
    <w:qFormat/>
    <w:uiPriority w:val="0"/>
    <w:rPr>
      <w:rFonts w:ascii="Tahoma" w:hAnsi="Tahoma"/>
      <w:sz w:val="24"/>
      <w:szCs w:val="20"/>
    </w:rPr>
  </w:style>
  <w:style w:type="paragraph" w:customStyle="1" w:styleId="156">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57">
    <w:name w:val="Char Char Char"/>
    <w:basedOn w:val="1"/>
    <w:qFormat/>
    <w:uiPriority w:val="0"/>
    <w:rPr>
      <w:rFonts w:ascii="Tahoma" w:hAnsi="Tahoma"/>
      <w:sz w:val="24"/>
      <w:szCs w:val="20"/>
    </w:rPr>
  </w:style>
  <w:style w:type="paragraph" w:customStyle="1" w:styleId="158">
    <w:name w:val="样式 标题 1 + 四号 居中 段前: 12 磅 段后: 12 磅 行距: 单倍行距"/>
    <w:basedOn w:val="2"/>
    <w:qFormat/>
    <w:uiPriority w:val="0"/>
    <w:pPr>
      <w:tabs>
        <w:tab w:val="left" w:pos="425"/>
      </w:tabs>
      <w:snapToGrid/>
      <w:spacing w:before="240" w:after="240" w:line="240" w:lineRule="auto"/>
      <w:ind w:left="425" w:hanging="425"/>
      <w:textAlignment w:val="baseline"/>
    </w:pPr>
    <w:rPr>
      <w:rFonts w:eastAsia="宋体"/>
      <w:bCs w:val="0"/>
      <w:sz w:val="28"/>
      <w:szCs w:val="20"/>
    </w:rPr>
  </w:style>
  <w:style w:type="paragraph" w:customStyle="1" w:styleId="159">
    <w:name w:val="Char1 Char Char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1">
    <w:name w:val="Char Char Char Char1"/>
    <w:basedOn w:val="1"/>
    <w:qFormat/>
    <w:uiPriority w:val="0"/>
    <w:pPr>
      <w:tabs>
        <w:tab w:val="left" w:pos="360"/>
      </w:tabs>
      <w:ind w:firstLine="420" w:firstLineChars="150"/>
    </w:pPr>
    <w:rPr>
      <w:rFonts w:ascii="Arial" w:hAnsi="Arial" w:cs="Arial"/>
      <w:sz w:val="20"/>
      <w:szCs w:val="20"/>
    </w:rPr>
  </w:style>
  <w:style w:type="paragraph" w:customStyle="1" w:styleId="162">
    <w:name w:val="样式 宋体 五号 两端对齐 行距: 单倍行距"/>
    <w:basedOn w:val="1"/>
    <w:qFormat/>
    <w:uiPriority w:val="0"/>
    <w:pPr>
      <w:adjustRightInd w:val="0"/>
      <w:textAlignment w:val="baseline"/>
    </w:pPr>
    <w:rPr>
      <w:rFonts w:ascii="宋体" w:hAnsi="宋体"/>
      <w:kern w:val="0"/>
      <w:szCs w:val="20"/>
    </w:rPr>
  </w:style>
  <w:style w:type="paragraph" w:customStyle="1" w:styleId="163">
    <w:name w:val="表格文字"/>
    <w:basedOn w:val="1"/>
    <w:qFormat/>
    <w:uiPriority w:val="0"/>
    <w:pPr>
      <w:spacing w:beforeLines="5" w:afterLines="5" w:line="200" w:lineRule="atLeast"/>
      <w:ind w:left="10" w:leftChars="10"/>
    </w:pPr>
    <w:rPr>
      <w:rFonts w:ascii="宋体" w:hAnsi="宋体"/>
      <w:color w:val="000000"/>
      <w:sz w:val="20"/>
      <w:szCs w:val="20"/>
    </w:rPr>
  </w:style>
  <w:style w:type="paragraph" w:customStyle="1" w:styleId="164">
    <w:name w:val="缺省文本"/>
    <w:basedOn w:val="1"/>
    <w:qFormat/>
    <w:uiPriority w:val="0"/>
    <w:pPr>
      <w:autoSpaceDE w:val="0"/>
      <w:autoSpaceDN w:val="0"/>
      <w:adjustRightInd w:val="0"/>
    </w:pPr>
    <w:rPr>
      <w:kern w:val="0"/>
      <w:sz w:val="24"/>
    </w:rPr>
  </w:style>
  <w:style w:type="paragraph" w:customStyle="1" w:styleId="165">
    <w:name w:val="缩进项目"/>
    <w:basedOn w:val="1"/>
    <w:qFormat/>
    <w:uiPriority w:val="0"/>
    <w:pPr>
      <w:tabs>
        <w:tab w:val="left" w:pos="425"/>
        <w:tab w:val="left" w:pos="1924"/>
      </w:tabs>
      <w:spacing w:line="400" w:lineRule="exact"/>
      <w:ind w:left="1924" w:hanging="425"/>
      <w:outlineLvl w:val="0"/>
    </w:pPr>
    <w:rPr>
      <w:rFonts w:ascii="宋体"/>
      <w:color w:val="0000FF"/>
      <w:kern w:val="0"/>
      <w:sz w:val="24"/>
      <w:szCs w:val="20"/>
    </w:rPr>
  </w:style>
  <w:style w:type="paragraph" w:customStyle="1" w:styleId="166">
    <w:name w:val="一级条标题"/>
    <w:basedOn w:val="167"/>
    <w:next w:val="168"/>
    <w:qFormat/>
    <w:uiPriority w:val="0"/>
    <w:pPr>
      <w:tabs>
        <w:tab w:val="left" w:pos="486"/>
        <w:tab w:val="left" w:pos="992"/>
      </w:tabs>
      <w:spacing w:before="0" w:after="0" w:line="240" w:lineRule="auto"/>
      <w:ind w:left="486" w:hanging="420"/>
      <w:outlineLvl w:val="2"/>
    </w:pPr>
  </w:style>
  <w:style w:type="paragraph" w:customStyle="1" w:styleId="167">
    <w:name w:val="章标题"/>
    <w:next w:val="1"/>
    <w:qFormat/>
    <w:uiPriority w:val="0"/>
    <w:pPr>
      <w:tabs>
        <w:tab w:val="left" w:pos="992"/>
      </w:tabs>
      <w:spacing w:before="50" w:after="50" w:line="360" w:lineRule="auto"/>
      <w:ind w:left="992" w:hanging="567"/>
      <w:jc w:val="both"/>
      <w:outlineLvl w:val="1"/>
    </w:pPr>
    <w:rPr>
      <w:rFonts w:ascii="黑体" w:hAnsi="Times New Roman" w:eastAsia="黑体" w:cs="Times New Roman"/>
      <w:sz w:val="21"/>
      <w:lang w:val="en-US" w:eastAsia="zh-CN" w:bidi="ar-SA"/>
    </w:rPr>
  </w:style>
  <w:style w:type="paragraph" w:customStyle="1" w:styleId="168">
    <w:name w:val="段"/>
    <w:next w:val="1"/>
    <w:qFormat/>
    <w:uiPriority w:val="0"/>
    <w:pPr>
      <w:tabs>
        <w:tab w:val="left" w:pos="1395"/>
      </w:tabs>
      <w:autoSpaceDE w:val="0"/>
      <w:autoSpaceDN w:val="0"/>
      <w:ind w:firstLine="425"/>
      <w:jc w:val="both"/>
    </w:pPr>
    <w:rPr>
      <w:rFonts w:ascii="宋体" w:hAnsi="Times New Roman" w:eastAsia="宋体" w:cs="Times New Roman"/>
      <w:sz w:val="21"/>
      <w:lang w:val="en-US" w:eastAsia="zh-CN" w:bidi="ar-SA"/>
    </w:rPr>
  </w:style>
  <w:style w:type="character" w:customStyle="1" w:styleId="169">
    <w:name w:val="称呼 字符"/>
    <w:link w:val="15"/>
    <w:qFormat/>
    <w:uiPriority w:val="0"/>
    <w:rPr>
      <w:rFonts w:ascii="Times New Roman" w:hAnsi="Times New Roman" w:eastAsia="宋体" w:cs="Times New Roman"/>
      <w:szCs w:val="20"/>
    </w:rPr>
  </w:style>
  <w:style w:type="character" w:customStyle="1" w:styleId="170">
    <w:name w:val="称呼 Char"/>
    <w:basedOn w:val="41"/>
    <w:qFormat/>
    <w:uiPriority w:val="99"/>
    <w:rPr>
      <w:rFonts w:ascii="Times New Roman" w:hAnsi="Times New Roman" w:eastAsia="宋体" w:cs="Times New Roman"/>
      <w:szCs w:val="24"/>
    </w:rPr>
  </w:style>
  <w:style w:type="paragraph" w:customStyle="1" w:styleId="171">
    <w:name w:val="NICMAN Body Text"/>
    <w:basedOn w:val="1"/>
    <w:next w:val="18"/>
    <w:qFormat/>
    <w:uiPriority w:val="0"/>
    <w:pPr>
      <w:spacing w:after="120" w:line="400" w:lineRule="exact"/>
      <w:ind w:firstLine="454"/>
    </w:pPr>
    <w:rPr>
      <w:sz w:val="24"/>
      <w:szCs w:val="20"/>
    </w:rPr>
  </w:style>
  <w:style w:type="character" w:customStyle="1" w:styleId="172">
    <w:name w:val="纯文本 Char1"/>
    <w:qFormat/>
    <w:uiPriority w:val="0"/>
    <w:rPr>
      <w:rFonts w:ascii="宋体" w:hAnsi="Courier New" w:cs="Courier New"/>
      <w:kern w:val="2"/>
      <w:sz w:val="21"/>
      <w:szCs w:val="21"/>
    </w:rPr>
  </w:style>
  <w:style w:type="paragraph" w:customStyle="1" w:styleId="173">
    <w:name w:val="正文首行缩进:  2 字符"/>
    <w:basedOn w:val="1"/>
    <w:qFormat/>
    <w:uiPriority w:val="0"/>
    <w:pPr>
      <w:spacing w:line="360" w:lineRule="auto"/>
      <w:ind w:firstLine="482" w:firstLineChars="200"/>
    </w:pPr>
    <w:rPr>
      <w:rFonts w:ascii="Arial" w:hAnsi="Arial" w:cs="宋体"/>
      <w:kern w:val="0"/>
      <w:sz w:val="24"/>
      <w:szCs w:val="20"/>
    </w:rPr>
  </w:style>
  <w:style w:type="paragraph" w:customStyle="1" w:styleId="174">
    <w:name w:val="Char Char Char Char"/>
    <w:basedOn w:val="1"/>
    <w:qFormat/>
    <w:uiPriority w:val="0"/>
    <w:rPr>
      <w:rFonts w:ascii="Tahoma" w:hAnsi="Tahoma"/>
      <w:sz w:val="24"/>
      <w:szCs w:val="20"/>
    </w:rPr>
  </w:style>
  <w:style w:type="paragraph" w:customStyle="1" w:styleId="175">
    <w:name w:val="正文首行缩进两字符 Char Char"/>
    <w:basedOn w:val="1"/>
    <w:qFormat/>
    <w:uiPriority w:val="0"/>
    <w:pPr>
      <w:spacing w:line="360" w:lineRule="auto"/>
      <w:ind w:firstLine="200" w:firstLineChars="200"/>
    </w:pPr>
    <w:rPr>
      <w:sz w:val="24"/>
    </w:rPr>
  </w:style>
  <w:style w:type="paragraph" w:customStyle="1" w:styleId="176">
    <w:name w:val="123"/>
    <w:basedOn w:val="1"/>
    <w:qFormat/>
    <w:uiPriority w:val="0"/>
    <w:pPr>
      <w:spacing w:before="120"/>
      <w:ind w:firstLine="425"/>
    </w:pPr>
    <w:rPr>
      <w:szCs w:val="20"/>
    </w:rPr>
  </w:style>
  <w:style w:type="paragraph" w:customStyle="1" w:styleId="177">
    <w:name w:val="Char1 Char Char Char"/>
    <w:basedOn w:val="1"/>
    <w:qFormat/>
    <w:uiPriority w:val="0"/>
    <w:rPr>
      <w:rFonts w:ascii="Tahoma" w:hAnsi="Tahoma"/>
      <w:sz w:val="24"/>
      <w:szCs w:val="20"/>
    </w:rPr>
  </w:style>
  <w:style w:type="paragraph" w:customStyle="1" w:styleId="178">
    <w:name w:val="大标题"/>
    <w:basedOn w:val="1"/>
    <w:qFormat/>
    <w:uiPriority w:val="0"/>
    <w:pPr>
      <w:spacing w:line="600" w:lineRule="exact"/>
      <w:ind w:left="340" w:right="340"/>
      <w:jc w:val="center"/>
    </w:pPr>
    <w:rPr>
      <w:sz w:val="44"/>
      <w:szCs w:val="20"/>
    </w:rPr>
  </w:style>
  <w:style w:type="character" w:customStyle="1" w:styleId="179">
    <w:name w:val="HTML 预设格式 字符"/>
    <w:link w:val="33"/>
    <w:qFormat/>
    <w:uiPriority w:val="0"/>
    <w:rPr>
      <w:rFonts w:ascii="宋体" w:hAnsi="宋体" w:eastAsia="宋体" w:cs="宋体"/>
      <w:kern w:val="0"/>
      <w:sz w:val="24"/>
      <w:szCs w:val="24"/>
    </w:rPr>
  </w:style>
  <w:style w:type="character" w:customStyle="1" w:styleId="180">
    <w:name w:val="HTML 预设格式 Char"/>
    <w:basedOn w:val="41"/>
    <w:semiHidden/>
    <w:qFormat/>
    <w:uiPriority w:val="99"/>
    <w:rPr>
      <w:rFonts w:ascii="Courier New" w:hAnsi="Courier New" w:eastAsia="宋体" w:cs="Courier New"/>
      <w:sz w:val="20"/>
      <w:szCs w:val="20"/>
    </w:rPr>
  </w:style>
  <w:style w:type="paragraph" w:customStyle="1" w:styleId="181">
    <w:name w:val="表格文字（大）"/>
    <w:basedOn w:val="1"/>
    <w:qFormat/>
    <w:uiPriority w:val="0"/>
    <w:pPr>
      <w:spacing w:before="20" w:after="20"/>
    </w:pPr>
    <w:rPr>
      <w:rFonts w:ascii="Century Gothic" w:hAnsi="Century Gothic"/>
      <w:sz w:val="24"/>
      <w:szCs w:val="20"/>
    </w:rPr>
  </w:style>
  <w:style w:type="paragraph" w:customStyle="1" w:styleId="182">
    <w:name w:val="Item List in Table"/>
    <w:basedOn w:val="1"/>
    <w:qFormat/>
    <w:uiPriority w:val="0"/>
    <w:pPr>
      <w:tabs>
        <w:tab w:val="left" w:pos="420"/>
      </w:tabs>
      <w:ind w:left="420" w:hanging="420"/>
    </w:pPr>
  </w:style>
  <w:style w:type="paragraph" w:customStyle="1" w:styleId="183">
    <w:name w:val="Char Char Char Char Char Char Char Char Char Char"/>
    <w:basedOn w:val="1"/>
    <w:qFormat/>
    <w:uiPriority w:val="0"/>
    <w:pPr>
      <w:tabs>
        <w:tab w:val="left" w:pos="360"/>
      </w:tabs>
      <w:ind w:left="360" w:hanging="360" w:hangingChars="200"/>
    </w:pPr>
    <w:rPr>
      <w:sz w:val="24"/>
    </w:rPr>
  </w:style>
  <w:style w:type="paragraph" w:customStyle="1" w:styleId="184">
    <w:name w:val="样式4"/>
    <w:basedOn w:val="1"/>
    <w:qFormat/>
    <w:uiPriority w:val="0"/>
    <w:pPr>
      <w:jc w:val="center"/>
      <w:outlineLvl w:val="0"/>
    </w:pPr>
    <w:rPr>
      <w:b/>
      <w:sz w:val="32"/>
      <w:szCs w:val="20"/>
    </w:rPr>
  </w:style>
  <w:style w:type="character" w:customStyle="1" w:styleId="185">
    <w:name w:val="h31"/>
    <w:qFormat/>
    <w:uiPriority w:val="0"/>
    <w:rPr>
      <w:spacing w:val="330"/>
      <w:sz w:val="21"/>
      <w:szCs w:val="21"/>
    </w:rPr>
  </w:style>
  <w:style w:type="paragraph" w:customStyle="1" w:styleId="186">
    <w:name w:val="Titel 2"/>
    <w:basedOn w:val="1"/>
    <w:qFormat/>
    <w:uiPriority w:val="0"/>
    <w:pPr>
      <w:tabs>
        <w:tab w:val="decimal" w:leader="underscore" w:pos="8504"/>
        <w:tab w:val="right" w:pos="9923"/>
      </w:tabs>
      <w:autoSpaceDE w:val="0"/>
      <w:autoSpaceDN w:val="0"/>
    </w:pPr>
    <w:rPr>
      <w:rFonts w:ascii="Helvetica-Black" w:hAnsi="Helvetica-Black"/>
      <w:b/>
      <w:bCs/>
      <w:kern w:val="0"/>
      <w:sz w:val="28"/>
      <w:szCs w:val="28"/>
      <w:lang w:eastAsia="en-US"/>
    </w:rPr>
  </w:style>
  <w:style w:type="character" w:customStyle="1" w:styleId="187">
    <w:name w:val="tpc_content1"/>
    <w:qFormat/>
    <w:uiPriority w:val="0"/>
    <w:rPr>
      <w:sz w:val="15"/>
      <w:szCs w:val="15"/>
    </w:rPr>
  </w:style>
  <w:style w:type="character" w:customStyle="1" w:styleId="188">
    <w:name w:val="blacksmm"/>
    <w:qFormat/>
    <w:uiPriority w:val="0"/>
  </w:style>
  <w:style w:type="character" w:customStyle="1" w:styleId="189">
    <w:name w:val="blacksm"/>
    <w:qFormat/>
    <w:uiPriority w:val="0"/>
  </w:style>
  <w:style w:type="paragraph" w:customStyle="1" w:styleId="190">
    <w:name w:val="标题X.1.1"/>
    <w:basedOn w:val="1"/>
    <w:next w:val="18"/>
    <w:qFormat/>
    <w:uiPriority w:val="0"/>
    <w:pPr>
      <w:tabs>
        <w:tab w:val="left" w:pos="540"/>
        <w:tab w:val="left" w:pos="5985"/>
      </w:tabs>
      <w:spacing w:beforeLines="150" w:line="400" w:lineRule="exact"/>
      <w:outlineLvl w:val="2"/>
    </w:pPr>
    <w:rPr>
      <w:rFonts w:ascii="宋体" w:hAnsi="宋体"/>
      <w:b/>
      <w:sz w:val="30"/>
      <w:szCs w:val="30"/>
    </w:rPr>
  </w:style>
  <w:style w:type="character" w:customStyle="1" w:styleId="191">
    <w:name w:val="正文文本 2 字符"/>
    <w:link w:val="32"/>
    <w:semiHidden/>
    <w:qFormat/>
    <w:uiPriority w:val="0"/>
    <w:rPr>
      <w:rFonts w:ascii="Times New Roman" w:hAnsi="Times New Roman" w:eastAsia="宋体" w:cs="Times New Roman"/>
      <w:i/>
      <w:kern w:val="0"/>
      <w:sz w:val="24"/>
      <w:szCs w:val="20"/>
      <w:lang w:val="it-IT"/>
    </w:rPr>
  </w:style>
  <w:style w:type="character" w:customStyle="1" w:styleId="192">
    <w:name w:val="正文文本 2 Char"/>
    <w:basedOn w:val="41"/>
    <w:semiHidden/>
    <w:qFormat/>
    <w:uiPriority w:val="99"/>
    <w:rPr>
      <w:rFonts w:ascii="Times New Roman" w:hAnsi="Times New Roman" w:eastAsia="宋体" w:cs="Times New Roman"/>
      <w:szCs w:val="24"/>
    </w:rPr>
  </w:style>
  <w:style w:type="character" w:customStyle="1" w:styleId="193">
    <w:name w:val="正文首行缩进 字符"/>
    <w:link w:val="37"/>
    <w:qFormat/>
    <w:uiPriority w:val="0"/>
    <w:rPr>
      <w:rFonts w:ascii="Times New Roman" w:hAnsi="Times New Roman" w:eastAsia="宋体" w:cs="Times New Roman"/>
      <w:szCs w:val="24"/>
    </w:rPr>
  </w:style>
  <w:style w:type="character" w:customStyle="1" w:styleId="194">
    <w:name w:val="正文首行缩进 Char"/>
    <w:basedOn w:val="73"/>
    <w:qFormat/>
    <w:uiPriority w:val="99"/>
    <w:rPr>
      <w:rFonts w:ascii="Times New Roman" w:hAnsi="Times New Roman" w:eastAsia="宋体" w:cs="Times New Roman"/>
      <w:szCs w:val="24"/>
    </w:rPr>
  </w:style>
  <w:style w:type="character" w:customStyle="1" w:styleId="195">
    <w:name w:val="navhead1"/>
    <w:qFormat/>
    <w:uiPriority w:val="0"/>
    <w:rPr>
      <w:rFonts w:hint="default" w:ascii="Verdana" w:hAnsi="Verdana"/>
      <w:b/>
      <w:bCs/>
      <w:color w:val="000066"/>
      <w:sz w:val="22"/>
      <w:szCs w:val="22"/>
      <w:u w:val="none"/>
      <w:shd w:val="clear" w:color="auto" w:fill="FFFFFF"/>
    </w:rPr>
  </w:style>
  <w:style w:type="character" w:customStyle="1" w:styleId="196">
    <w:name w:val="boldheader1"/>
    <w:qFormat/>
    <w:uiPriority w:val="0"/>
    <w:rPr>
      <w:rFonts w:hint="default" w:ascii="Verdana" w:hAnsi="Verdana"/>
      <w:b/>
      <w:bCs/>
      <w:color w:val="000066"/>
      <w:sz w:val="22"/>
      <w:szCs w:val="22"/>
      <w:u w:val="none"/>
    </w:rPr>
  </w:style>
  <w:style w:type="character" w:customStyle="1" w:styleId="197">
    <w:name w:val="style11"/>
    <w:qFormat/>
    <w:uiPriority w:val="0"/>
    <w:rPr>
      <w:b/>
      <w:bCs/>
      <w:color w:val="669900"/>
    </w:rPr>
  </w:style>
  <w:style w:type="paragraph" w:customStyle="1" w:styleId="198">
    <w:name w:val="SecC"/>
    <w:qFormat/>
    <w:uiPriority w:val="0"/>
    <w:pPr>
      <w:tabs>
        <w:tab w:val="left" w:pos="1701"/>
        <w:tab w:val="left" w:pos="2126"/>
        <w:tab w:val="left" w:pos="2552"/>
        <w:tab w:val="left" w:pos="3969"/>
        <w:tab w:val="left" w:pos="5670"/>
        <w:tab w:val="right" w:pos="7938"/>
      </w:tabs>
      <w:ind w:left="1701" w:hanging="1701"/>
      <w:jc w:val="both"/>
    </w:pPr>
    <w:rPr>
      <w:rFonts w:ascii="Frutiger 55 Roman" w:hAnsi="Frutiger 55 Roman" w:eastAsia="宋体" w:cs="Times New Roman"/>
      <w:sz w:val="22"/>
      <w:lang w:val="en-GB" w:eastAsia="zh-CN" w:bidi="ar-SA"/>
    </w:rPr>
  </w:style>
  <w:style w:type="paragraph" w:customStyle="1" w:styleId="199">
    <w:name w:val="Char Char Char Char Char Char Char Char Char Char1"/>
    <w:basedOn w:val="1"/>
    <w:qFormat/>
    <w:uiPriority w:val="0"/>
    <w:pPr>
      <w:tabs>
        <w:tab w:val="left" w:pos="360"/>
      </w:tabs>
      <w:ind w:left="360" w:hanging="360" w:hangingChars="200"/>
    </w:pPr>
    <w:rPr>
      <w:sz w:val="24"/>
    </w:rPr>
  </w:style>
  <w:style w:type="character" w:customStyle="1" w:styleId="200">
    <w:name w:val="parameter"/>
    <w:qFormat/>
    <w:uiPriority w:val="0"/>
  </w:style>
  <w:style w:type="character" w:customStyle="1" w:styleId="201">
    <w:name w:val="style1"/>
    <w:qFormat/>
    <w:uiPriority w:val="0"/>
  </w:style>
  <w:style w:type="character" w:customStyle="1" w:styleId="202">
    <w:name w:val="lh15 s"/>
    <w:qFormat/>
    <w:uiPriority w:val="0"/>
  </w:style>
  <w:style w:type="paragraph" w:customStyle="1" w:styleId="203">
    <w:name w:val="Char Char Char Char Char Char1 Char"/>
    <w:basedOn w:val="1"/>
    <w:qFormat/>
    <w:uiPriority w:val="0"/>
    <w:pPr>
      <w:spacing w:after="160" w:line="240" w:lineRule="exact"/>
    </w:pPr>
    <w:rPr>
      <w:rFonts w:ascii="Verdana" w:hAnsi="Verdana"/>
      <w:kern w:val="0"/>
      <w:szCs w:val="20"/>
      <w:lang w:eastAsia="en-US"/>
    </w:rPr>
  </w:style>
  <w:style w:type="paragraph" w:customStyle="1" w:styleId="204">
    <w:name w:val=".."/>
    <w:basedOn w:val="160"/>
    <w:next w:val="160"/>
    <w:qFormat/>
    <w:uiPriority w:val="0"/>
    <w:rPr>
      <w:rFonts w:cs="Times New Roman"/>
      <w:color w:val="auto"/>
    </w:rPr>
  </w:style>
  <w:style w:type="paragraph" w:customStyle="1" w:styleId="205">
    <w:name w:val="标题3"/>
    <w:basedOn w:val="4"/>
    <w:qFormat/>
    <w:uiPriority w:val="0"/>
    <w:pPr>
      <w:spacing w:line="416" w:lineRule="auto"/>
    </w:pPr>
    <w:rPr>
      <w:rFonts w:ascii="宋体" w:hAnsi="宋体"/>
      <w:bCs/>
      <w:sz w:val="28"/>
      <w:szCs w:val="28"/>
    </w:rPr>
  </w:style>
  <w:style w:type="character" w:customStyle="1" w:styleId="206">
    <w:name w:val="t31"/>
    <w:qFormat/>
    <w:uiPriority w:val="0"/>
    <w:rPr>
      <w:color w:val="000000"/>
      <w:sz w:val="21"/>
      <w:szCs w:val="21"/>
      <w:u w:val="none"/>
    </w:rPr>
  </w:style>
  <w:style w:type="paragraph" w:customStyle="1" w:styleId="207">
    <w:name w:val="Char1 Char Char Char1"/>
    <w:basedOn w:val="1"/>
    <w:qFormat/>
    <w:uiPriority w:val="0"/>
    <w:rPr>
      <w:rFonts w:ascii="Tahoma" w:hAnsi="Tahoma"/>
      <w:sz w:val="24"/>
      <w:szCs w:val="20"/>
    </w:rPr>
  </w:style>
  <w:style w:type="character" w:customStyle="1" w:styleId="208">
    <w:name w:val="tit1"/>
    <w:qFormat/>
    <w:uiPriority w:val="0"/>
    <w:rPr>
      <w:rFonts w:hint="default" w:ascii="Arial" w:hAnsi="Arial" w:eastAsia="黑体" w:cs="Arial"/>
      <w:b/>
      <w:bCs/>
      <w:color w:val="000000"/>
      <w:sz w:val="21"/>
      <w:szCs w:val="21"/>
    </w:rPr>
  </w:style>
  <w:style w:type="character" w:customStyle="1" w:styleId="209">
    <w:name w:val="11pt"/>
    <w:qFormat/>
    <w:uiPriority w:val="0"/>
  </w:style>
  <w:style w:type="paragraph" w:customStyle="1" w:styleId="210">
    <w:name w:val="Char Char Char Char2"/>
    <w:basedOn w:val="1"/>
    <w:qFormat/>
    <w:uiPriority w:val="0"/>
    <w:pPr>
      <w:tabs>
        <w:tab w:val="left" w:pos="360"/>
      </w:tabs>
      <w:ind w:firstLine="420" w:firstLineChars="150"/>
    </w:pPr>
    <w:rPr>
      <w:rFonts w:ascii="Arial" w:hAnsi="Arial" w:cs="Arial"/>
      <w:sz w:val="20"/>
      <w:szCs w:val="20"/>
    </w:rPr>
  </w:style>
  <w:style w:type="paragraph" w:customStyle="1" w:styleId="211">
    <w:name w:val="Char Char1 Char Char Char Char Char Char"/>
    <w:basedOn w:val="1"/>
    <w:qFormat/>
    <w:uiPriority w:val="0"/>
    <w:pPr>
      <w:spacing w:after="160" w:line="240" w:lineRule="exact"/>
    </w:pPr>
    <w:rPr>
      <w:rFonts w:ascii="Verdana" w:hAnsi="Verdana" w:eastAsia="仿宋_GB2312"/>
      <w:spacing w:val="-4"/>
      <w:kern w:val="0"/>
      <w:position w:val="-8"/>
      <w:sz w:val="24"/>
      <w:szCs w:val="20"/>
      <w:lang w:eastAsia="en-US"/>
    </w:rPr>
  </w:style>
  <w:style w:type="character" w:customStyle="1" w:styleId="212">
    <w:name w:val="text_line_height_201"/>
    <w:qFormat/>
    <w:uiPriority w:val="0"/>
  </w:style>
  <w:style w:type="paragraph" w:customStyle="1" w:styleId="213">
    <w:name w:val="Char Char Char Char Char Char Char Char Char Char Char Char Char Char Char Char"/>
    <w:basedOn w:val="1"/>
    <w:qFormat/>
    <w:uiPriority w:val="0"/>
    <w:pPr>
      <w:tabs>
        <w:tab w:val="left" w:pos="360"/>
      </w:tabs>
    </w:pPr>
    <w:rPr>
      <w:sz w:val="24"/>
    </w:rPr>
  </w:style>
  <w:style w:type="paragraph" w:customStyle="1" w:styleId="214">
    <w:name w:val="Char Char1"/>
    <w:basedOn w:val="13"/>
    <w:qFormat/>
    <w:uiPriority w:val="0"/>
    <w:rPr>
      <w:rFonts w:ascii="Tahoma" w:hAnsi="Tahoma"/>
      <w:sz w:val="24"/>
    </w:rPr>
  </w:style>
  <w:style w:type="character" w:customStyle="1" w:styleId="215">
    <w:name w:val="普通文字 Char Char"/>
    <w:qFormat/>
    <w:uiPriority w:val="0"/>
    <w:rPr>
      <w:rFonts w:ascii="宋体" w:hAnsi="Courier New" w:eastAsia="宋体" w:cs="Courier New"/>
      <w:kern w:val="2"/>
      <w:sz w:val="21"/>
      <w:szCs w:val="21"/>
      <w:lang w:val="en-US" w:eastAsia="zh-CN" w:bidi="ar-SA"/>
    </w:rPr>
  </w:style>
  <w:style w:type="paragraph" w:customStyle="1" w:styleId="216">
    <w:name w:val="Char1 Char Char"/>
    <w:basedOn w:val="1"/>
    <w:qFormat/>
    <w:uiPriority w:val="0"/>
    <w:pPr>
      <w:spacing w:after="160" w:line="240" w:lineRule="exact"/>
    </w:pPr>
    <w:rPr>
      <w:rFonts w:ascii="Arial" w:hAnsi="Arial" w:eastAsia="Times New Roman" w:cs="Verdana"/>
      <w:b/>
      <w:kern w:val="0"/>
      <w:sz w:val="24"/>
      <w:lang w:eastAsia="en-US"/>
    </w:rPr>
  </w:style>
  <w:style w:type="paragraph" w:customStyle="1" w:styleId="217">
    <w:name w:val="字元 字元"/>
    <w:basedOn w:val="1"/>
    <w:qFormat/>
    <w:uiPriority w:val="0"/>
    <w:rPr>
      <w:szCs w:val="20"/>
    </w:rPr>
  </w:style>
  <w:style w:type="paragraph" w:customStyle="1" w:styleId="218">
    <w:name w:val="090909"/>
    <w:basedOn w:val="1"/>
    <w:qFormat/>
    <w:uiPriority w:val="0"/>
    <w:pPr>
      <w:ind w:firstLine="200" w:firstLineChars="200"/>
      <w:outlineLvl w:val="0"/>
    </w:pPr>
    <w:rPr>
      <w:szCs w:val="20"/>
    </w:rPr>
  </w:style>
  <w:style w:type="paragraph" w:customStyle="1" w:styleId="219">
    <w:name w:val="Char Char Char1"/>
    <w:basedOn w:val="1"/>
    <w:qFormat/>
    <w:uiPriority w:val="0"/>
    <w:rPr>
      <w:rFonts w:ascii="Tahoma" w:hAnsi="Tahoma"/>
      <w:sz w:val="24"/>
      <w:szCs w:val="20"/>
    </w:rPr>
  </w:style>
  <w:style w:type="character" w:customStyle="1" w:styleId="220">
    <w:name w:val="纯文本 字符"/>
    <w:qFormat/>
    <w:uiPriority w:val="0"/>
    <w:rPr>
      <w:rFonts w:ascii="宋体" w:hAnsi="Courier New"/>
    </w:rPr>
  </w:style>
  <w:style w:type="character" w:customStyle="1" w:styleId="221">
    <w:name w:val="emtidy-1"/>
    <w:qFormat/>
    <w:uiPriority w:val="0"/>
  </w:style>
  <w:style w:type="character" w:customStyle="1" w:styleId="222">
    <w:name w:val="标题 字符1"/>
    <w:basedOn w:val="41"/>
    <w:link w:val="35"/>
    <w:qFormat/>
    <w:uiPriority w:val="0"/>
    <w:rPr>
      <w:rFonts w:ascii="Arial" w:hAnsi="Arial" w:eastAsia="宋体" w:cs="Arial"/>
      <w:b/>
      <w:bCs/>
      <w:sz w:val="32"/>
      <w:szCs w:val="32"/>
    </w:rPr>
  </w:style>
  <w:style w:type="paragraph" w:customStyle="1" w:styleId="223">
    <w:name w:val="p0"/>
    <w:basedOn w:val="1"/>
    <w:qFormat/>
    <w:uiPriority w:val="0"/>
    <w:rPr>
      <w:rFonts w:ascii="Calibri" w:hAnsi="Calibri"/>
      <w:kern w:val="0"/>
      <w:szCs w:val="21"/>
    </w:rPr>
  </w:style>
  <w:style w:type="paragraph" w:customStyle="1" w:styleId="224">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25">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26">
    <w:name w:val="xl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0"/>
      <w:szCs w:val="20"/>
    </w:rPr>
  </w:style>
  <w:style w:type="paragraph" w:customStyle="1" w:styleId="227">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28">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229">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230">
    <w:name w:val="xl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23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32">
    <w:name w:val="xl73"/>
    <w:basedOn w:val="1"/>
    <w:qFormat/>
    <w:uiPriority w:val="0"/>
    <w:pPr>
      <w:pBdr>
        <w:top w:val="single" w:color="auto" w:sz="4" w:space="0"/>
        <w:left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233">
    <w:name w:val="xl74"/>
    <w:basedOn w:val="1"/>
    <w:qFormat/>
    <w:uiPriority w:val="0"/>
    <w:pPr>
      <w:pBdr>
        <w:top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0"/>
      <w:szCs w:val="20"/>
    </w:rPr>
  </w:style>
  <w:style w:type="paragraph" w:customStyle="1" w:styleId="234">
    <w:name w:val="xl75"/>
    <w:basedOn w:val="1"/>
    <w:qFormat/>
    <w:uiPriority w:val="0"/>
    <w:pPr>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35">
    <w:name w:val="xl76"/>
    <w:basedOn w:val="1"/>
    <w:qFormat/>
    <w:uiPriority w:val="0"/>
    <w:pPr>
      <w:pBdr>
        <w:left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236">
    <w:name w:val="xl77"/>
    <w:basedOn w:val="1"/>
    <w:qFormat/>
    <w:uiPriority w:val="0"/>
    <w:pPr>
      <w:pBdr>
        <w:top w:val="single" w:color="auto" w:sz="4" w:space="0"/>
        <w:left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237">
    <w:name w:val="xl78"/>
    <w:basedOn w:val="1"/>
    <w:qFormat/>
    <w:uiPriority w:val="0"/>
    <w:pPr>
      <w:pBdr>
        <w:top w:val="single" w:color="auto" w:sz="4" w:space="0"/>
        <w:left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238">
    <w:name w:val="xl79"/>
    <w:basedOn w:val="1"/>
    <w:qFormat/>
    <w:uiPriority w:val="0"/>
    <w:pPr>
      <w:pBdr>
        <w:left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239">
    <w:name w:val="xl80"/>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40">
    <w:name w:val="xl81"/>
    <w:basedOn w:val="1"/>
    <w:qFormat/>
    <w:uiPriority w:val="0"/>
    <w:pPr>
      <w:pBdr>
        <w:top w:val="single" w:color="auto" w:sz="4" w:space="0"/>
        <w:left w:val="single" w:color="auto" w:sz="4" w:space="0"/>
        <w:right w:val="single" w:color="auto" w:sz="4" w:space="0"/>
      </w:pBdr>
      <w:spacing w:before="100" w:beforeAutospacing="1" w:after="100" w:afterAutospacing="1"/>
      <w:jc w:val="right"/>
    </w:pPr>
    <w:rPr>
      <w:rFonts w:ascii="宋体" w:hAnsi="宋体" w:cs="宋体"/>
      <w:color w:val="000000"/>
      <w:kern w:val="0"/>
      <w:sz w:val="20"/>
      <w:szCs w:val="20"/>
    </w:rPr>
  </w:style>
  <w:style w:type="paragraph" w:customStyle="1" w:styleId="241">
    <w:name w:val="xl8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42">
    <w:name w:val="xl83"/>
    <w:basedOn w:val="1"/>
    <w:qFormat/>
    <w:uiPriority w:val="0"/>
    <w:pPr>
      <w:pBdr>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243">
    <w:name w:val="xl84"/>
    <w:basedOn w:val="1"/>
    <w:qFormat/>
    <w:uiPriority w:val="0"/>
    <w:pPr>
      <w:pBdr>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0"/>
      <w:szCs w:val="20"/>
    </w:rPr>
  </w:style>
  <w:style w:type="paragraph" w:customStyle="1" w:styleId="244">
    <w:name w:val="xl85"/>
    <w:basedOn w:val="1"/>
    <w:qFormat/>
    <w:uiPriority w:val="0"/>
    <w:pPr>
      <w:spacing w:before="100" w:beforeAutospacing="1" w:after="100" w:afterAutospacing="1"/>
      <w:jc w:val="center"/>
    </w:pPr>
    <w:rPr>
      <w:rFonts w:ascii="宋体" w:hAnsi="宋体" w:cs="宋体"/>
      <w:kern w:val="0"/>
      <w:sz w:val="20"/>
      <w:szCs w:val="20"/>
    </w:rPr>
  </w:style>
  <w:style w:type="paragraph" w:customStyle="1" w:styleId="245">
    <w:name w:val="xl86"/>
    <w:basedOn w:val="1"/>
    <w:qFormat/>
    <w:uiPriority w:val="0"/>
    <w:pPr>
      <w:pBdr>
        <w:left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246">
    <w:name w:val="xl87"/>
    <w:basedOn w:val="1"/>
    <w:qFormat/>
    <w:uiPriority w:val="0"/>
    <w:pPr>
      <w:spacing w:before="100" w:beforeAutospacing="1" w:after="100" w:afterAutospacing="1"/>
      <w:jc w:val="right"/>
    </w:pPr>
    <w:rPr>
      <w:rFonts w:ascii="宋体" w:hAnsi="宋体" w:cs="宋体"/>
      <w:kern w:val="0"/>
      <w:sz w:val="20"/>
      <w:szCs w:val="20"/>
    </w:rPr>
  </w:style>
  <w:style w:type="paragraph" w:customStyle="1" w:styleId="247">
    <w:name w:val="xl8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20"/>
      <w:szCs w:val="20"/>
    </w:rPr>
  </w:style>
  <w:style w:type="paragraph" w:customStyle="1" w:styleId="248">
    <w:name w:val="xl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0"/>
      <w:szCs w:val="20"/>
    </w:rPr>
  </w:style>
  <w:style w:type="paragraph" w:customStyle="1" w:styleId="249">
    <w:name w:val="xl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50">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251">
    <w:name w:val="xl9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20"/>
      <w:szCs w:val="20"/>
    </w:rPr>
  </w:style>
  <w:style w:type="paragraph" w:customStyle="1" w:styleId="252">
    <w:name w:val="xl9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253">
    <w:name w:val="xl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54">
    <w:name w:val="xl9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0"/>
      <w:szCs w:val="20"/>
    </w:rPr>
  </w:style>
  <w:style w:type="character" w:customStyle="1" w:styleId="255">
    <w:name w:val="标题 2 Char1"/>
    <w:qFormat/>
    <w:uiPriority w:val="0"/>
    <w:rPr>
      <w:rFonts w:ascii="Arial" w:hAnsi="Arial" w:eastAsia="黑体" w:cs="Times New Roman"/>
      <w:b/>
      <w:bCs/>
      <w:sz w:val="32"/>
      <w:szCs w:val="32"/>
    </w:rPr>
  </w:style>
  <w:style w:type="character" w:customStyle="1" w:styleId="256">
    <w:name w:val="标题 字符"/>
    <w:qFormat/>
    <w:uiPriority w:val="10"/>
    <w:rPr>
      <w:rFonts w:ascii="等线 Light" w:hAnsi="等线 Light" w:eastAsia="等线 Light" w:cs="Times New Roman"/>
      <w:b/>
      <w:bCs/>
      <w:sz w:val="32"/>
      <w:szCs w:val="32"/>
    </w:rPr>
  </w:style>
  <w:style w:type="character" w:customStyle="1" w:styleId="257">
    <w:name w:val="列出段落 字符"/>
    <w:qFormat/>
    <w:locked/>
    <w:uiPriority w:val="34"/>
    <w:rPr>
      <w:kern w:val="2"/>
      <w:sz w:val="21"/>
      <w:szCs w:val="22"/>
    </w:rPr>
  </w:style>
  <w:style w:type="paragraph" w:customStyle="1" w:styleId="258">
    <w:name w:val="4标题"/>
    <w:basedOn w:val="5"/>
    <w:link w:val="259"/>
    <w:qFormat/>
    <w:uiPriority w:val="0"/>
    <w:pPr>
      <w:adjustRightInd/>
      <w:spacing w:line="376" w:lineRule="auto"/>
      <w:textAlignment w:val="auto"/>
    </w:pPr>
    <w:rPr>
      <w:rFonts w:ascii="Calibri Light" w:hAnsi="Calibri Light" w:eastAsia="宋体"/>
      <w:bCs/>
      <w:kern w:val="2"/>
      <w:szCs w:val="28"/>
    </w:rPr>
  </w:style>
  <w:style w:type="character" w:customStyle="1" w:styleId="259">
    <w:name w:val="4标题 Char"/>
    <w:link w:val="258"/>
    <w:qFormat/>
    <w:uiPriority w:val="0"/>
    <w:rPr>
      <w:rFonts w:ascii="Calibri Light" w:hAnsi="Calibri Light" w:eastAsia="宋体" w:cs="Times New Roman"/>
      <w:b/>
      <w:bCs/>
      <w:sz w:val="28"/>
      <w:szCs w:val="28"/>
    </w:rPr>
  </w:style>
  <w:style w:type="paragraph" w:customStyle="1" w:styleId="260">
    <w:name w:val="xl65"/>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华文细黑" w:hAnsi="华文细黑" w:eastAsia="华文细黑" w:cs="宋体"/>
      <w:kern w:val="0"/>
      <w:sz w:val="24"/>
    </w:rPr>
  </w:style>
  <w:style w:type="paragraph" w:customStyle="1" w:styleId="261">
    <w:name w:val="列表段落1"/>
    <w:basedOn w:val="1"/>
    <w:link w:val="262"/>
    <w:unhideWhenUsed/>
    <w:qFormat/>
    <w:uiPriority w:val="34"/>
    <w:pPr>
      <w:ind w:firstLine="420" w:firstLineChars="200"/>
    </w:pPr>
  </w:style>
  <w:style w:type="character" w:customStyle="1" w:styleId="262">
    <w:name w:val="列表段落 字符"/>
    <w:link w:val="261"/>
    <w:qFormat/>
    <w:uiPriority w:val="34"/>
    <w:rPr>
      <w:kern w:val="2"/>
      <w:sz w:val="21"/>
      <w:szCs w:val="24"/>
    </w:rPr>
  </w:style>
  <w:style w:type="paragraph" w:customStyle="1" w:styleId="263">
    <w:name w:val="正文表格"/>
    <w:basedOn w:val="1"/>
    <w:qFormat/>
    <w:uiPriority w:val="0"/>
    <w:pPr>
      <w:widowControl w:val="0"/>
      <w:jc w:val="center"/>
    </w:pPr>
    <w:rPr>
      <w:rFonts w:ascii="宋体" w:hAnsi="宋体" w:cs="宋体"/>
      <w:color w:val="000000"/>
      <w:kern w:val="1"/>
      <w:szCs w:val="21"/>
    </w:rPr>
  </w:style>
  <w:style w:type="paragraph" w:customStyle="1" w:styleId="264">
    <w:name w:val="正文无缩进"/>
    <w:basedOn w:val="263"/>
    <w:qFormat/>
    <w:uiPriority w:val="0"/>
    <w:pPr>
      <w:jc w:val="left"/>
    </w:pPr>
  </w:style>
  <w:style w:type="paragraph" w:customStyle="1" w:styleId="265">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266">
    <w:name w:val="正文文本 3 字符"/>
    <w:basedOn w:val="41"/>
    <w:link w:val="16"/>
    <w:semiHidden/>
    <w:qFormat/>
    <w:uiPriority w:val="99"/>
    <w:rPr>
      <w:kern w:val="2"/>
      <w:sz w:val="16"/>
      <w:szCs w:val="16"/>
    </w:rPr>
  </w:style>
  <w:style w:type="character" w:customStyle="1" w:styleId="267">
    <w:name w:val="日期 字符"/>
    <w:qFormat/>
    <w:uiPriority w:val="0"/>
    <w:rPr>
      <w:kern w:val="2"/>
      <w:sz w:val="28"/>
    </w:rPr>
  </w:style>
  <w:style w:type="character" w:customStyle="1" w:styleId="268">
    <w:name w:val="NormalCharacter"/>
    <w:qFormat/>
    <w:uiPriority w:val="0"/>
  </w:style>
  <w:style w:type="character" w:customStyle="1" w:styleId="269">
    <w:name w:val="c-icon"/>
    <w:basedOn w:val="41"/>
    <w:qFormat/>
    <w:uiPriority w:val="0"/>
  </w:style>
  <w:style w:type="character" w:customStyle="1" w:styleId="270">
    <w:name w:val="hover28"/>
    <w:basedOn w:val="41"/>
    <w:qFormat/>
    <w:uiPriority w:val="0"/>
  </w:style>
  <w:style w:type="character" w:customStyle="1" w:styleId="271">
    <w:name w:val="hover29"/>
    <w:basedOn w:val="41"/>
    <w:qFormat/>
    <w:uiPriority w:val="0"/>
    <w:rPr>
      <w:color w:val="315EFB"/>
    </w:rPr>
  </w:style>
  <w:style w:type="paragraph" w:customStyle="1" w:styleId="272">
    <w:name w:val="列表段落11"/>
    <w:basedOn w:val="1"/>
    <w:qFormat/>
    <w:uiPriority w:val="99"/>
    <w:pPr>
      <w:ind w:firstLine="420" w:firstLineChars="200"/>
    </w:pPr>
  </w:style>
  <w:style w:type="paragraph" w:styleId="273">
    <w:name w:val="List Paragraph"/>
    <w:basedOn w:val="1"/>
    <w:qFormat/>
    <w:uiPriority w:val="99"/>
    <w:pPr>
      <w:ind w:firstLine="420" w:firstLineChars="200"/>
    </w:pPr>
  </w:style>
  <w:style w:type="paragraph" w:styleId="274">
    <w:name w:val="No Spacing"/>
    <w:qFormat/>
    <w:uiPriority w:val="1"/>
    <w:pPr>
      <w:widowControl w:val="0"/>
      <w:jc w:val="both"/>
    </w:pPr>
    <w:rPr>
      <w:rFonts w:ascii="Calibri" w:hAnsi="Calibri" w:eastAsia="宋体" w:cs="宋体"/>
      <w:kern w:val="2"/>
      <w:sz w:val="21"/>
      <w:szCs w:val="22"/>
      <w:lang w:val="en-US" w:eastAsia="zh-CN" w:bidi="ar-SA"/>
    </w:rPr>
  </w:style>
  <w:style w:type="paragraph" w:customStyle="1" w:styleId="275">
    <w:name w:val="普通(网站)1"/>
    <w:qFormat/>
    <w:uiPriority w:val="0"/>
    <w:pPr>
      <w:spacing w:before="100" w:beforeAutospacing="1" w:after="100" w:afterAutospacing="1"/>
    </w:pPr>
    <w:rPr>
      <w:rFonts w:ascii="宋体" w:hAnsi="宋体" w:eastAsia="宋体" w:cs="Times New Roman"/>
      <w:sz w:val="24"/>
      <w:szCs w:val="24"/>
      <w:lang w:val="en-US" w:eastAsia="zh-CN" w:bidi="ar-SA"/>
    </w:rPr>
  </w:style>
  <w:style w:type="character" w:customStyle="1" w:styleId="276">
    <w:name w:val="font11"/>
    <w:basedOn w:val="41"/>
    <w:qFormat/>
    <w:uiPriority w:val="0"/>
    <w:rPr>
      <w:rFonts w:hint="eastAsia" w:ascii="等线" w:hAnsi="等线" w:eastAsia="等线" w:cs="等线"/>
      <w:color w:val="000000"/>
      <w:sz w:val="18"/>
      <w:szCs w:val="18"/>
      <w:u w:val="none"/>
    </w:rPr>
  </w:style>
  <w:style w:type="character" w:customStyle="1" w:styleId="277">
    <w:name w:val="font71"/>
    <w:basedOn w:val="41"/>
    <w:qFormat/>
    <w:uiPriority w:val="0"/>
    <w:rPr>
      <w:rFonts w:hint="eastAsia" w:ascii="宋体" w:hAnsi="宋体" w:eastAsia="宋体" w:cs="宋体"/>
      <w:color w:val="000000"/>
      <w:sz w:val="18"/>
      <w:szCs w:val="18"/>
      <w:u w:val="none"/>
    </w:rPr>
  </w:style>
  <w:style w:type="character" w:customStyle="1" w:styleId="278">
    <w:name w:val="font21"/>
    <w:basedOn w:val="41"/>
    <w:qFormat/>
    <w:uiPriority w:val="0"/>
    <w:rPr>
      <w:rFonts w:hint="eastAsia" w:ascii="等线" w:hAnsi="等线" w:eastAsia="等线" w:cs="等线"/>
      <w:color w:val="000000"/>
      <w:sz w:val="20"/>
      <w:szCs w:val="20"/>
      <w:u w:val="none"/>
    </w:rPr>
  </w:style>
  <w:style w:type="character" w:customStyle="1" w:styleId="279">
    <w:name w:val="font81"/>
    <w:basedOn w:val="41"/>
    <w:qFormat/>
    <w:uiPriority w:val="0"/>
    <w:rPr>
      <w:rFonts w:hint="eastAsia" w:ascii="宋体" w:hAnsi="宋体" w:eastAsia="宋体" w:cs="宋体"/>
      <w:color w:val="000000"/>
      <w:sz w:val="20"/>
      <w:szCs w:val="20"/>
      <w:u w:val="none"/>
    </w:rPr>
  </w:style>
  <w:style w:type="character" w:customStyle="1" w:styleId="280">
    <w:name w:val="font51"/>
    <w:basedOn w:val="41"/>
    <w:qFormat/>
    <w:uiPriority w:val="0"/>
    <w:rPr>
      <w:rFonts w:hint="eastAsia" w:ascii="仿宋" w:hAnsi="仿宋" w:eastAsia="仿宋" w:cs="仿宋"/>
      <w:color w:val="000000"/>
      <w:sz w:val="18"/>
      <w:szCs w:val="18"/>
      <w:u w:val="none"/>
    </w:rPr>
  </w:style>
  <w:style w:type="character" w:customStyle="1" w:styleId="281">
    <w:name w:val="font61"/>
    <w:basedOn w:val="41"/>
    <w:qFormat/>
    <w:uiPriority w:val="0"/>
    <w:rPr>
      <w:rFonts w:ascii="Arial" w:hAnsi="Arial" w:cs="Arial"/>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42</Pages>
  <Words>3502</Words>
  <Characters>19967</Characters>
  <Lines>166</Lines>
  <Paragraphs>46</Paragraphs>
  <TotalTime>11</TotalTime>
  <ScaleCrop>false</ScaleCrop>
  <LinksUpToDate>false</LinksUpToDate>
  <CharactersWithSpaces>23423</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2024-10-26T03:05:00Z</dcterms:created>
  <dc:creator>97540</dc:creator>
  <cp:lastModifiedBy>袁</cp:lastModifiedBy>
  <cp:lastPrinted>2022-03-06T18:19:00Z</cp:lastPrinted>
  <dcterms:modified xsi:type="dcterms:W3CDTF">2026-07-28T03:57:46Z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4807CA32BCB3C0FF68DF5E6A14BC0CB4_43</vt:lpwstr>
  </property>
  <property fmtid="{D5CDD505-2E9C-101B-9397-08002B2CF9AE}" pid="4" name="KSOTemplateDocerSaveRecord">
    <vt:lpwstr>eyJoZGlkIjoiYWZlMjNiYTM1NjZhYzEyNWEwMTE3NjQxNWM3YWQzZGQiLCJ1c2VySWQiOiI1MTA4MjAwMDYifQ==</vt:lpwstr>
  </property>
</Properties>
</file>